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345CF">
      <w:pPr>
        <w:rPr>
          <w:rFonts w:hint="eastAsia" w:ascii="宋体" w:hAnsi="宋体" w:eastAsia="宋体" w:cs="宋体"/>
          <w:color w:val="auto"/>
          <w:highlight w:val="none"/>
        </w:rPr>
      </w:pPr>
      <w:bookmarkStart w:id="232" w:name="_GoBack"/>
      <w:bookmarkEnd w:id="232"/>
      <w:bookmarkStart w:id="0" w:name="EBd1903233c57842fe90c433f9589343b5"/>
      <w:r>
        <w:rPr>
          <w:rFonts w:hint="eastAsia" w:ascii="宋体" w:hAnsi="宋体" w:eastAsia="宋体" w:cs="宋体"/>
          <w:color w:val="auto"/>
          <w:sz w:val="20"/>
          <w:highlight w:val="none"/>
        </w:rPr>
        <w:t xml:space="preserve"> </w:t>
      </w:r>
      <w:bookmarkEnd w:id="0"/>
      <w:bookmarkStart w:id="1" w:name="EB40a5ee547fc843c3b2ea3f75d5e785a5"/>
      <w:r>
        <w:rPr>
          <w:rFonts w:hint="eastAsia" w:ascii="宋体" w:hAnsi="宋体" w:eastAsia="宋体" w:cs="宋体"/>
          <w:color w:val="auto"/>
          <w:sz w:val="20"/>
          <w:highlight w:val="none"/>
        </w:rPr>
        <w:t xml:space="preserve"> </w:t>
      </w:r>
      <w:bookmarkEnd w:id="1"/>
    </w:p>
    <w:p w14:paraId="1A33B878">
      <w:pPr>
        <w:pStyle w:val="12"/>
        <w:spacing w:line="400" w:lineRule="atLeast"/>
        <w:jc w:val="center"/>
        <w:rPr>
          <w:rFonts w:hint="eastAsia" w:hAnsi="宋体" w:eastAsia="宋体" w:cs="宋体"/>
          <w:bCs/>
          <w:color w:val="auto"/>
          <w:sz w:val="72"/>
          <w:szCs w:val="72"/>
          <w:highlight w:val="none"/>
        </w:rPr>
      </w:pPr>
    </w:p>
    <w:p w14:paraId="4E33B6C8">
      <w:pPr>
        <w:pStyle w:val="12"/>
        <w:spacing w:line="400" w:lineRule="atLeast"/>
        <w:jc w:val="center"/>
        <w:rPr>
          <w:rFonts w:hint="eastAsia" w:hAnsi="宋体" w:eastAsia="宋体" w:cs="宋体"/>
          <w:bCs/>
          <w:color w:val="auto"/>
          <w:sz w:val="72"/>
          <w:szCs w:val="72"/>
          <w:highlight w:val="none"/>
        </w:rPr>
      </w:pPr>
      <w:r>
        <w:rPr>
          <w:rFonts w:hint="eastAsia" w:hAnsi="宋体" w:eastAsia="宋体" w:cs="宋体"/>
          <w:bCs/>
          <w:color w:val="auto"/>
          <w:sz w:val="72"/>
          <w:szCs w:val="72"/>
          <w:highlight w:val="none"/>
        </w:rPr>
        <w:t>国有企业</w:t>
      </w:r>
    </w:p>
    <w:p w14:paraId="715FB8FE">
      <w:pPr>
        <w:pStyle w:val="12"/>
        <w:spacing w:line="400" w:lineRule="atLeast"/>
        <w:jc w:val="center"/>
        <w:rPr>
          <w:rFonts w:hint="eastAsia" w:hAnsi="宋体" w:eastAsia="宋体" w:cs="宋体"/>
          <w:b/>
          <w:bCs/>
          <w:color w:val="auto"/>
          <w:sz w:val="84"/>
          <w:szCs w:val="84"/>
          <w:highlight w:val="none"/>
        </w:rPr>
      </w:pPr>
      <w:r>
        <w:rPr>
          <w:rFonts w:hint="eastAsia" w:hAnsi="宋体" w:eastAsia="宋体" w:cs="宋体"/>
          <w:b/>
          <w:bCs/>
          <w:color w:val="auto"/>
          <w:sz w:val="84"/>
          <w:szCs w:val="84"/>
          <w:highlight w:val="none"/>
        </w:rPr>
        <w:t>公开招标</w:t>
      </w:r>
    </w:p>
    <w:p w14:paraId="1B3F2918">
      <w:pPr>
        <w:pStyle w:val="12"/>
        <w:spacing w:line="400" w:lineRule="atLeast"/>
        <w:jc w:val="center"/>
        <w:rPr>
          <w:rFonts w:hint="eastAsia" w:hAnsi="宋体" w:eastAsia="宋体" w:cs="宋体"/>
          <w:b/>
          <w:bCs/>
          <w:color w:val="auto"/>
          <w:sz w:val="84"/>
          <w:szCs w:val="84"/>
          <w:highlight w:val="none"/>
        </w:rPr>
      </w:pPr>
      <w:r>
        <w:rPr>
          <w:rFonts w:hint="eastAsia" w:hAnsi="宋体" w:eastAsia="宋体" w:cs="宋体"/>
          <w:b/>
          <w:bCs/>
          <w:color w:val="auto"/>
          <w:sz w:val="84"/>
          <w:szCs w:val="84"/>
          <w:highlight w:val="none"/>
        </w:rPr>
        <w:t>电子招标文件</w:t>
      </w:r>
    </w:p>
    <w:p w14:paraId="7B1C9513">
      <w:pPr>
        <w:pStyle w:val="12"/>
        <w:ind w:left="1680" w:leftChars="800"/>
        <w:rPr>
          <w:rFonts w:hint="eastAsia" w:hAnsi="宋体" w:eastAsia="宋体" w:cs="宋体"/>
          <w:b/>
          <w:bCs/>
          <w:color w:val="auto"/>
          <w:sz w:val="32"/>
          <w:szCs w:val="32"/>
          <w:highlight w:val="none"/>
        </w:rPr>
      </w:pPr>
    </w:p>
    <w:p w14:paraId="4EA3714B">
      <w:pPr>
        <w:pStyle w:val="12"/>
        <w:ind w:left="1680" w:leftChars="800"/>
        <w:rPr>
          <w:rFonts w:hint="eastAsia" w:hAnsi="宋体" w:eastAsia="宋体" w:cs="宋体"/>
          <w:b/>
          <w:bCs/>
          <w:color w:val="auto"/>
          <w:sz w:val="32"/>
          <w:szCs w:val="32"/>
          <w:highlight w:val="none"/>
        </w:rPr>
      </w:pPr>
    </w:p>
    <w:p w14:paraId="431F2E5D">
      <w:pPr>
        <w:pStyle w:val="12"/>
        <w:ind w:left="1680" w:leftChars="800"/>
        <w:rPr>
          <w:rFonts w:hint="eastAsia" w:hAnsi="宋体" w:eastAsia="宋体" w:cs="宋体"/>
          <w:b/>
          <w:bCs/>
          <w:color w:val="auto"/>
          <w:sz w:val="32"/>
          <w:szCs w:val="32"/>
          <w:highlight w:val="none"/>
        </w:rPr>
      </w:pPr>
    </w:p>
    <w:p w14:paraId="642ACC84">
      <w:pPr>
        <w:pStyle w:val="12"/>
        <w:ind w:left="1680" w:leftChars="800"/>
        <w:rPr>
          <w:rFonts w:hint="eastAsia" w:hAnsi="宋体" w:eastAsia="宋体" w:cs="宋体"/>
          <w:b/>
          <w:bCs/>
          <w:color w:val="auto"/>
          <w:sz w:val="32"/>
          <w:szCs w:val="32"/>
          <w:highlight w:val="none"/>
        </w:rPr>
      </w:pPr>
      <w:r>
        <w:rPr>
          <w:rFonts w:hint="eastAsia" w:hAnsi="宋体" w:eastAsia="宋体" w:cs="宋体"/>
          <w:b/>
          <w:bCs/>
          <w:color w:val="auto"/>
          <w:sz w:val="32"/>
          <w:szCs w:val="32"/>
          <w:highlight w:val="none"/>
        </w:rPr>
        <w:t>采购项目名称：创新药物及医疗器械研发中心设备采购及安装项目</w:t>
      </w:r>
    </w:p>
    <w:p w14:paraId="038083B5">
      <w:pPr>
        <w:pStyle w:val="12"/>
        <w:ind w:left="1680" w:leftChars="800"/>
        <w:rPr>
          <w:rFonts w:hint="eastAsia" w:hAnsi="宋体" w:eastAsia="宋体" w:cs="宋体"/>
          <w:b/>
          <w:bCs/>
          <w:color w:val="auto"/>
          <w:sz w:val="32"/>
          <w:szCs w:val="32"/>
          <w:highlight w:val="none"/>
        </w:rPr>
      </w:pPr>
      <w:r>
        <w:rPr>
          <w:rFonts w:hint="eastAsia" w:hAnsi="宋体" w:eastAsia="宋体" w:cs="宋体"/>
          <w:b/>
          <w:bCs/>
          <w:color w:val="auto"/>
          <w:sz w:val="32"/>
          <w:szCs w:val="32"/>
          <w:highlight w:val="none"/>
        </w:rPr>
        <w:t>招标编号：HNYY-LYGC-2026-009</w:t>
      </w:r>
    </w:p>
    <w:p w14:paraId="5AFA25BF">
      <w:pPr>
        <w:pStyle w:val="12"/>
        <w:ind w:left="1680" w:leftChars="800"/>
        <w:rPr>
          <w:rFonts w:hint="eastAsia" w:hAnsi="宋体" w:eastAsia="宋体" w:cs="宋体"/>
          <w:b/>
          <w:bCs/>
          <w:color w:val="auto"/>
          <w:sz w:val="32"/>
          <w:szCs w:val="32"/>
          <w:highlight w:val="none"/>
        </w:rPr>
      </w:pPr>
      <w:r>
        <w:rPr>
          <w:rFonts w:hint="eastAsia" w:hAnsi="宋体" w:eastAsia="宋体" w:cs="宋体"/>
          <w:b/>
          <w:bCs/>
          <w:color w:val="auto"/>
          <w:sz w:val="32"/>
          <w:szCs w:val="32"/>
          <w:highlight w:val="none"/>
        </w:rPr>
        <w:t>采   购   人：湖南普瑞玛药物研究中心有限公司</w:t>
      </w:r>
    </w:p>
    <w:p w14:paraId="14227CDB">
      <w:pPr>
        <w:pStyle w:val="12"/>
        <w:ind w:left="1680" w:leftChars="800"/>
        <w:rPr>
          <w:rFonts w:hint="eastAsia" w:hAnsi="宋体" w:eastAsia="宋体" w:cs="宋体"/>
          <w:b/>
          <w:bCs/>
          <w:color w:val="auto"/>
          <w:sz w:val="32"/>
          <w:szCs w:val="32"/>
          <w:highlight w:val="none"/>
        </w:rPr>
      </w:pPr>
      <w:r>
        <w:rPr>
          <w:rFonts w:hint="eastAsia" w:hAnsi="宋体" w:eastAsia="宋体" w:cs="宋体"/>
          <w:b/>
          <w:bCs/>
          <w:color w:val="auto"/>
          <w:sz w:val="32"/>
          <w:szCs w:val="32"/>
          <w:highlight w:val="none"/>
        </w:rPr>
        <w:t>采购代理机构：湖南扬屹咨询管理有限公司</w:t>
      </w:r>
    </w:p>
    <w:p w14:paraId="3264A126">
      <w:pPr>
        <w:pStyle w:val="12"/>
        <w:jc w:val="center"/>
        <w:rPr>
          <w:rFonts w:hint="eastAsia" w:hAnsi="宋体" w:eastAsia="宋体" w:cs="宋体"/>
          <w:bCs/>
          <w:color w:val="auto"/>
          <w:sz w:val="32"/>
          <w:szCs w:val="32"/>
          <w:highlight w:val="none"/>
        </w:rPr>
      </w:pPr>
    </w:p>
    <w:p w14:paraId="069DC1AB">
      <w:pPr>
        <w:pStyle w:val="12"/>
        <w:jc w:val="center"/>
        <w:rPr>
          <w:rFonts w:hint="eastAsia" w:hAnsi="宋体" w:eastAsia="宋体" w:cs="宋体"/>
          <w:bCs/>
          <w:color w:val="auto"/>
          <w:sz w:val="32"/>
          <w:szCs w:val="32"/>
          <w:highlight w:val="none"/>
        </w:rPr>
      </w:pPr>
    </w:p>
    <w:p w14:paraId="4694D7A3">
      <w:pPr>
        <w:pStyle w:val="12"/>
        <w:adjustRightInd w:val="0"/>
        <w:snapToGrid w:val="0"/>
        <w:spacing w:before="312" w:beforeLines="100" w:line="340" w:lineRule="exact"/>
        <w:jc w:val="center"/>
        <w:rPr>
          <w:rFonts w:hAnsi="宋体" w:eastAsia="宋体" w:cs="宋体"/>
          <w:color w:val="auto"/>
          <w:highlight w:val="none"/>
        </w:rPr>
      </w:pPr>
      <w:r>
        <w:rPr>
          <w:rFonts w:hint="eastAsia" w:hAnsi="宋体" w:eastAsia="宋体" w:cs="宋体"/>
          <w:b/>
          <w:color w:val="auto"/>
          <w:sz w:val="32"/>
          <w:highlight w:val="none"/>
        </w:rPr>
        <w:t xml:space="preserve">        2026年10月</w:t>
      </w:r>
      <w:bookmarkStart w:id="2" w:name="EB70d902edaedc4bfc90967833a5df0571"/>
      <w:r>
        <w:rPr>
          <w:rFonts w:hint="eastAsia" w:hAnsi="宋体" w:eastAsia="宋体" w:cs="宋体"/>
          <w:color w:val="auto"/>
          <w:highlight w:val="none"/>
        </w:rPr>
        <w:t xml:space="preserve"> </w:t>
      </w:r>
      <w:bookmarkEnd w:id="2"/>
    </w:p>
    <w:p w14:paraId="5C183612">
      <w:pPr>
        <w:pStyle w:val="12"/>
        <w:adjustRightInd w:val="0"/>
        <w:snapToGrid w:val="0"/>
        <w:spacing w:before="312" w:beforeLines="100" w:line="340" w:lineRule="exact"/>
        <w:jc w:val="center"/>
        <w:rPr>
          <w:rFonts w:hAnsi="宋体" w:eastAsia="宋体" w:cs="宋体"/>
          <w:color w:val="auto"/>
          <w:highlight w:val="none"/>
        </w:rPr>
      </w:pPr>
    </w:p>
    <w:p w14:paraId="3B934925">
      <w:pPr>
        <w:pStyle w:val="12"/>
        <w:adjustRightInd w:val="0"/>
        <w:snapToGrid w:val="0"/>
        <w:spacing w:before="312" w:beforeLines="100" w:line="340" w:lineRule="exact"/>
        <w:jc w:val="center"/>
        <w:rPr>
          <w:rFonts w:hAnsi="宋体" w:eastAsia="宋体" w:cs="宋体"/>
          <w:color w:val="auto"/>
          <w:highlight w:val="none"/>
        </w:rPr>
      </w:pPr>
    </w:p>
    <w:p w14:paraId="77614C8C">
      <w:pPr>
        <w:pStyle w:val="12"/>
        <w:adjustRightInd w:val="0"/>
        <w:snapToGrid w:val="0"/>
        <w:spacing w:before="312" w:beforeLines="100" w:line="340" w:lineRule="exact"/>
        <w:jc w:val="center"/>
        <w:rPr>
          <w:rFonts w:hAnsi="宋体" w:eastAsia="宋体" w:cs="宋体"/>
          <w:color w:val="auto"/>
          <w:highlight w:val="none"/>
        </w:rPr>
      </w:pPr>
    </w:p>
    <w:p w14:paraId="68A74DB9">
      <w:pPr>
        <w:rPr>
          <w:rFonts w:hint="eastAsia" w:ascii="宋体" w:hAnsi="宋体" w:eastAsia="宋体" w:cs="宋体"/>
          <w:color w:val="auto"/>
          <w:highlight w:val="none"/>
        </w:rPr>
      </w:pPr>
    </w:p>
    <w:p w14:paraId="1FB3EB92">
      <w:pPr>
        <w:pStyle w:val="12"/>
        <w:adjustRightInd w:val="0"/>
        <w:snapToGrid w:val="0"/>
        <w:spacing w:line="360" w:lineRule="auto"/>
        <w:jc w:val="center"/>
        <w:rPr>
          <w:rFonts w:hint="eastAsia" w:hAnsi="宋体" w:cs="宋体"/>
          <w:b/>
          <w:bCs/>
          <w:color w:val="auto"/>
          <w:sz w:val="32"/>
          <w:szCs w:val="32"/>
          <w:highlight w:val="none"/>
        </w:rPr>
        <w:sectPr>
          <w:headerReference r:id="rId3" w:type="default"/>
          <w:pgSz w:w="11906" w:h="16838"/>
          <w:pgMar w:top="1440" w:right="1588" w:bottom="1440" w:left="1588" w:header="851" w:footer="992" w:gutter="0"/>
          <w:cols w:space="720" w:num="1"/>
          <w:docGrid w:type="lines" w:linePitch="312" w:charSpace="0"/>
        </w:sectPr>
      </w:pPr>
    </w:p>
    <w:p w14:paraId="6CE3912A">
      <w:pPr>
        <w:jc w:val="center"/>
        <w:outlineLvl w:val="0"/>
        <w:rPr>
          <w:rFonts w:hint="eastAsia" w:ascii="宋体" w:hAnsi="宋体" w:eastAsia="宋体" w:cs="宋体"/>
          <w:b/>
          <w:color w:val="auto"/>
          <w:sz w:val="32"/>
          <w:szCs w:val="32"/>
          <w:highlight w:val="none"/>
        </w:rPr>
      </w:pPr>
      <w:bookmarkStart w:id="3" w:name="_Toc129095499"/>
      <w:bookmarkStart w:id="4" w:name="_Toc6242753"/>
      <w:bookmarkStart w:id="5" w:name="_Toc966137"/>
      <w:bookmarkStart w:id="6" w:name="_Toc129095604"/>
      <w:r>
        <w:rPr>
          <w:rFonts w:hint="eastAsia" w:ascii="宋体" w:hAnsi="宋体" w:eastAsia="宋体" w:cs="宋体"/>
          <w:b/>
          <w:color w:val="auto"/>
          <w:sz w:val="44"/>
          <w:szCs w:val="44"/>
          <w:highlight w:val="none"/>
        </w:rPr>
        <w:t>关键信息</w:t>
      </w:r>
      <w:bookmarkEnd w:id="3"/>
      <w:bookmarkEnd w:id="4"/>
      <w:bookmarkEnd w:id="5"/>
      <w:bookmarkEnd w:id="6"/>
    </w:p>
    <w:p w14:paraId="586E8760">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一、资格性审查</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6"/>
        <w:gridCol w:w="9046"/>
      </w:tblGrid>
      <w:tr w14:paraId="7EDA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36" w:type="dxa"/>
            <w:noWrap w:val="0"/>
            <w:vAlign w:val="center"/>
          </w:tcPr>
          <w:p w14:paraId="12CE293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9046" w:type="dxa"/>
            <w:noWrap w:val="0"/>
            <w:vAlign w:val="center"/>
          </w:tcPr>
          <w:p w14:paraId="7764154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审查情况</w:t>
            </w:r>
          </w:p>
        </w:tc>
      </w:tr>
      <w:tr w14:paraId="2F18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noWrap w:val="0"/>
            <w:vAlign w:val="center"/>
          </w:tcPr>
          <w:p w14:paraId="599D64A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046" w:type="dxa"/>
            <w:noWrap w:val="0"/>
            <w:vAlign w:val="center"/>
          </w:tcPr>
          <w:p w14:paraId="372633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法人或者其他组织的营业执照等证明文件</w:t>
            </w:r>
          </w:p>
        </w:tc>
      </w:tr>
      <w:tr w14:paraId="327C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noWrap w:val="0"/>
            <w:vAlign w:val="center"/>
          </w:tcPr>
          <w:p w14:paraId="7B19E7B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9046" w:type="dxa"/>
            <w:noWrap w:val="0"/>
            <w:vAlign w:val="center"/>
          </w:tcPr>
          <w:p w14:paraId="367A701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依法缴纳税收和社会保险费的证明材料，各上传下列材料之一</w:t>
            </w:r>
            <w:r>
              <w:rPr>
                <w:rFonts w:hint="eastAsia" w:ascii="宋体" w:hAnsi="宋体" w:eastAsia="宋体" w:cs="宋体"/>
                <w:color w:val="auto"/>
                <w:sz w:val="24"/>
                <w:szCs w:val="24"/>
                <w:highlight w:val="none"/>
                <w:lang w:eastAsia="zh-CN"/>
              </w:rPr>
              <w:t>：</w:t>
            </w:r>
          </w:p>
          <w:p w14:paraId="1A42415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（1）缴纳税收证明资料（提供下列之一证明材料）：</w:t>
            </w:r>
          </w:p>
          <w:p w14:paraId="0ABB801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①《税务登记证》（实行营业执照、组织机构代码证、税务登记证“三证合一”或者营业执照、组织机构代码证、税务登记证、社会保险登记证和统计登记证“五证合一”登记模式的，可不再提供）；</w:t>
            </w:r>
          </w:p>
          <w:p w14:paraId="742D88A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②提交投标文件截止时间前 3 个月内任意一个月依法缴纳税收的证明（纳税凭证）；</w:t>
            </w:r>
          </w:p>
          <w:p w14:paraId="38A0BDD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③委托他人缴纳的委托代办协议和提交投标文件截止时间前 3 个月内任意一个月的缴纳证明（收据）；</w:t>
            </w:r>
          </w:p>
          <w:p w14:paraId="7E39E0A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④法定征收机关出具的依法免缴税收的证明。</w:t>
            </w:r>
          </w:p>
          <w:p w14:paraId="1FCD1FA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（2）缴纳社会保险证明资料（提供下列之一证明材料）：</w:t>
            </w:r>
          </w:p>
          <w:p w14:paraId="07140BF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①《社会保险登记证》（实行营业执照、组织机构代码证、税务登记证、社会保险登记证和统计登记证“五证合一”登记制度的，可不再提供）；</w:t>
            </w:r>
          </w:p>
          <w:p w14:paraId="47415CD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②提交投标文件截止时间前 3 个月内任意一个月依法缴纳社会保险的证明（缴费凭证）；</w:t>
            </w:r>
          </w:p>
          <w:p w14:paraId="43F8D30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③委托他人缴纳的委托代办协议和提交投标文件截止时间前 3 个月内任意一个月的缴纳证明（收据）；</w:t>
            </w:r>
          </w:p>
          <w:p w14:paraId="38CC7ED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④法定征收机关出具的依法免缴保险费的证明。</w:t>
            </w:r>
          </w:p>
        </w:tc>
      </w:tr>
      <w:tr w14:paraId="3B31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noWrap w:val="0"/>
            <w:vAlign w:val="center"/>
          </w:tcPr>
          <w:p w14:paraId="135D8FF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9046" w:type="dxa"/>
            <w:noWrap w:val="0"/>
            <w:vAlign w:val="center"/>
          </w:tcPr>
          <w:p w14:paraId="65F29B1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法人提交法定代表人身份证明或者法定代表人授权委托书以及被授权代表人在投标单位或投标单位依法登记的分支机构近三个月内任意一个月的社保证明并附法定代表人身份证明</w:t>
            </w:r>
          </w:p>
        </w:tc>
      </w:tr>
      <w:tr w14:paraId="00BF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noWrap w:val="0"/>
            <w:vAlign w:val="center"/>
          </w:tcPr>
          <w:p w14:paraId="3B0399E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9046" w:type="dxa"/>
            <w:noWrap w:val="0"/>
            <w:vAlign w:val="center"/>
          </w:tcPr>
          <w:p w14:paraId="45DA51E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提供上年度经会计师事务所审计的财务报告（至少包含审计报告、资产负债表、利润表和现金流量表），或由银行出具的资信证明</w:t>
            </w:r>
          </w:p>
        </w:tc>
      </w:tr>
      <w:tr w14:paraId="33D4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tcBorders>
              <w:bottom w:val="single" w:color="auto" w:sz="6" w:space="0"/>
            </w:tcBorders>
            <w:noWrap w:val="0"/>
            <w:vAlign w:val="center"/>
          </w:tcPr>
          <w:p w14:paraId="4DCF25B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046" w:type="dxa"/>
            <w:noWrap w:val="0"/>
            <w:vAlign w:val="center"/>
          </w:tcPr>
          <w:p w14:paraId="05E5285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信用记录查询情况（由采购人、代理机构进行查询，无需供应商提供书面申明）</w:t>
            </w:r>
          </w:p>
        </w:tc>
      </w:tr>
      <w:tr w14:paraId="21BB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tcBorders>
              <w:bottom w:val="single" w:color="auto" w:sz="6" w:space="0"/>
            </w:tcBorders>
            <w:noWrap w:val="0"/>
            <w:vAlign w:val="center"/>
          </w:tcPr>
          <w:p w14:paraId="6AC9A14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9046" w:type="dxa"/>
            <w:noWrap w:val="0"/>
            <w:vAlign w:val="center"/>
          </w:tcPr>
          <w:p w14:paraId="1666DC1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具有履行本项目采购合同所必须的设备和专业技术能力证明材料</w:t>
            </w:r>
          </w:p>
        </w:tc>
      </w:tr>
      <w:tr w14:paraId="6735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36" w:type="dxa"/>
            <w:tcBorders>
              <w:bottom w:val="single" w:color="auto" w:sz="6" w:space="0"/>
            </w:tcBorders>
            <w:noWrap w:val="0"/>
            <w:vAlign w:val="center"/>
          </w:tcPr>
          <w:p w14:paraId="07B889A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9046" w:type="dxa"/>
            <w:noWrap w:val="0"/>
            <w:vAlign w:val="center"/>
          </w:tcPr>
          <w:p w14:paraId="338B4BA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特定资格条件：详见第一章投标邀请第三节第3条投标人特定资格条件</w:t>
            </w:r>
          </w:p>
        </w:tc>
      </w:tr>
      <w:tr w14:paraId="5207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2" w:type="dxa"/>
            <w:gridSpan w:val="2"/>
            <w:tcBorders>
              <w:top w:val="single" w:color="auto" w:sz="6" w:space="0"/>
              <w:left w:val="nil"/>
              <w:bottom w:val="single" w:color="auto" w:sz="6" w:space="0"/>
              <w:right w:val="nil"/>
            </w:tcBorders>
            <w:noWrap w:val="0"/>
            <w:vAlign w:val="center"/>
          </w:tcPr>
          <w:p w14:paraId="3FB79A59">
            <w:pPr>
              <w:rPr>
                <w:rFonts w:hint="eastAsia" w:ascii="宋体" w:hAnsi="宋体" w:eastAsia="宋体" w:cs="宋体"/>
                <w:color w:val="auto"/>
                <w:sz w:val="24"/>
                <w:szCs w:val="24"/>
                <w:highlight w:val="none"/>
              </w:rPr>
            </w:pPr>
          </w:p>
          <w:p w14:paraId="7BF93245">
            <w:pPr>
              <w:rPr>
                <w:rFonts w:hint="eastAsia" w:ascii="宋体" w:hAnsi="宋体" w:eastAsia="宋体" w:cs="宋体"/>
                <w:color w:val="auto"/>
                <w:sz w:val="24"/>
                <w:szCs w:val="24"/>
                <w:highlight w:val="none"/>
              </w:rPr>
            </w:pPr>
            <w:bookmarkStart w:id="7" w:name="EB7cb9444536f74be3aa65ebd38fc06754"/>
          </w:p>
          <w:bookmarkEnd w:id="7"/>
          <w:p w14:paraId="771161BB">
            <w:pPr>
              <w:rPr>
                <w:rFonts w:hint="eastAsia" w:ascii="宋体" w:hAnsi="宋体" w:eastAsia="宋体" w:cs="宋体"/>
                <w:color w:val="auto"/>
                <w:sz w:val="24"/>
                <w:szCs w:val="24"/>
                <w:highlight w:val="none"/>
              </w:rPr>
            </w:pPr>
          </w:p>
          <w:p w14:paraId="289ECD27">
            <w:pPr>
              <w:rPr>
                <w:rFonts w:hint="eastAsia" w:ascii="宋体" w:hAnsi="宋体" w:eastAsia="宋体" w:cs="宋体"/>
                <w:color w:val="auto"/>
                <w:sz w:val="24"/>
                <w:szCs w:val="24"/>
                <w:highlight w:val="none"/>
              </w:rPr>
            </w:pPr>
          </w:p>
        </w:tc>
      </w:tr>
      <w:tr w14:paraId="5CB2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2" w:type="dxa"/>
            <w:gridSpan w:val="2"/>
            <w:tcBorders>
              <w:top w:val="single" w:color="auto" w:sz="6" w:space="0"/>
            </w:tcBorders>
            <w:noWrap w:val="0"/>
            <w:vAlign w:val="top"/>
          </w:tcPr>
          <w:p w14:paraId="67C119B2">
            <w:pPr>
              <w:rPr>
                <w:rFonts w:hint="eastAsia" w:ascii="宋体" w:hAnsi="宋体" w:eastAsia="宋体" w:cs="宋体"/>
                <w:color w:val="auto"/>
                <w:sz w:val="24"/>
                <w:szCs w:val="24"/>
                <w:highlight w:val="none"/>
              </w:rPr>
            </w:pPr>
            <w:bookmarkStart w:id="8" w:name="EB7c6f7bc3e9084c3f8f39c4988ffd72e5"/>
            <w:r>
              <w:rPr>
                <w:rFonts w:hint="eastAsia" w:ascii="宋体" w:hAnsi="宋体" w:eastAsia="宋体" w:cs="宋体"/>
                <w:color w:val="auto"/>
                <w:sz w:val="24"/>
                <w:szCs w:val="24"/>
                <w:highlight w:val="none"/>
              </w:rPr>
              <w:t xml:space="preserve"> </w:t>
            </w:r>
            <w:bookmarkEnd w:id="8"/>
            <w:r>
              <w:rPr>
                <w:rFonts w:hint="eastAsia" w:ascii="宋体" w:hAnsi="宋体" w:eastAsia="宋体" w:cs="宋体"/>
                <w:color w:val="auto"/>
                <w:sz w:val="24"/>
                <w:szCs w:val="24"/>
                <w:highlight w:val="none"/>
              </w:rPr>
              <w:t>说明：</w:t>
            </w:r>
          </w:p>
          <w:p w14:paraId="6BAB70C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社会保险登记证，符合基本资格条件的相关条款。</w:t>
            </w:r>
          </w:p>
          <w:p w14:paraId="6A0F8E2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eastAsia="zh-CN"/>
              </w:rPr>
              <w:t>证明文件</w:t>
            </w:r>
            <w:r>
              <w:rPr>
                <w:rFonts w:hint="eastAsia" w:ascii="宋体" w:hAnsi="宋体" w:eastAsia="宋体" w:cs="宋体"/>
                <w:color w:val="auto"/>
                <w:sz w:val="24"/>
                <w:szCs w:val="24"/>
                <w:highlight w:val="none"/>
              </w:rPr>
              <w:t>提供原件扫描件须加盖投标人公章。</w:t>
            </w:r>
          </w:p>
          <w:p w14:paraId="5D5699B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投标人有下列情形之一的，视为无效投标（★）：</w:t>
            </w:r>
          </w:p>
          <w:p w14:paraId="25A3A30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（1）有一项资格证明文件未提交的；</w:t>
            </w:r>
          </w:p>
          <w:p w14:paraId="4A63285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（2）提供不符合要求或虚假资格证明文件的；</w:t>
            </w:r>
          </w:p>
          <w:p w14:paraId="2AB209F1">
            <w:pPr>
              <w:tabs>
                <w:tab w:val="left" w:pos="513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（3）资格证明文件过了有效期的；</w:t>
            </w:r>
          </w:p>
          <w:p w14:paraId="4D24B3B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（4）资格证明文件原件扫描件未加盖投标人公章的。</w:t>
            </w:r>
          </w:p>
          <w:p w14:paraId="43FC9BF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被“信用中国”网站列入失信被执行人和重大税收违法案件当事人名单的、被“中国政府采购网”网站列入政府采购严重违法失信行为记录名单（处罚期限尚未届满的），不得参与本项目的采购活动。</w:t>
            </w:r>
          </w:p>
          <w:p w14:paraId="05689AD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5.近三个月是指：2026年7月至2026年9月</w:t>
            </w:r>
          </w:p>
          <w:p w14:paraId="265355F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提供上年度经会计师事务所审计的财务报告（至少包含审计报告、资产负债表、利润表和现金流量表），或由银行出具的资信证明。</w:t>
            </w:r>
          </w:p>
          <w:p w14:paraId="56D6A0D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具体年度为：2025年度</w:t>
            </w:r>
          </w:p>
          <w:p w14:paraId="31BB4D9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7.特定资格条件是指：详见第一章投标邀请第三节第3条投标人特定资格条件。</w:t>
            </w:r>
          </w:p>
          <w:p w14:paraId="5C3CA12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8.单位负责人为同一人或者存在直接控股、管理关系的不同投标人，不得参加同一合同项下的采购活动。</w:t>
            </w:r>
          </w:p>
          <w:p w14:paraId="34B34A9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9.为本采购项目提供整体设计、规范编制或者项目管理、监理、检测等服务的，不得再参加此项目的其他招标采购活动。</w:t>
            </w:r>
            <w:bookmarkStart w:id="9" w:name="EB02a498a672a84d678507e87e7a2849f5"/>
            <w:r>
              <w:rPr>
                <w:rFonts w:hint="eastAsia" w:ascii="宋体" w:hAnsi="宋体" w:eastAsia="宋体" w:cs="宋体"/>
                <w:color w:val="auto"/>
                <w:sz w:val="24"/>
                <w:szCs w:val="24"/>
                <w:highlight w:val="none"/>
              </w:rPr>
              <w:t xml:space="preserve"> </w:t>
            </w:r>
            <w:bookmarkEnd w:id="9"/>
            <w:bookmarkStart w:id="10" w:name="EB5a17f9673b1b4adba5133d12757c35a2"/>
            <w:r>
              <w:rPr>
                <w:rFonts w:hint="eastAsia" w:ascii="宋体" w:hAnsi="宋体" w:eastAsia="宋体" w:cs="宋体"/>
                <w:color w:val="auto"/>
                <w:sz w:val="24"/>
                <w:szCs w:val="24"/>
                <w:highlight w:val="none"/>
              </w:rPr>
              <w:t xml:space="preserve"> </w:t>
            </w:r>
            <w:bookmarkEnd w:id="10"/>
            <w:bookmarkStart w:id="11" w:name="EBfa5de9cdbdb346d9b8405279675404a1"/>
            <w:r>
              <w:rPr>
                <w:rFonts w:hint="eastAsia" w:ascii="宋体" w:hAnsi="宋体" w:eastAsia="宋体" w:cs="宋体"/>
                <w:color w:val="auto"/>
                <w:sz w:val="24"/>
                <w:szCs w:val="24"/>
                <w:highlight w:val="none"/>
              </w:rPr>
              <w:t xml:space="preserve"> </w:t>
            </w:r>
            <w:bookmarkEnd w:id="11"/>
          </w:p>
        </w:tc>
      </w:tr>
    </w:tbl>
    <w:p w14:paraId="32912C2C">
      <w:pPr>
        <w:adjustRightInd w:val="0"/>
        <w:snapToGrid w:val="0"/>
        <w:spacing w:line="360" w:lineRule="auto"/>
        <w:jc w:val="center"/>
        <w:rPr>
          <w:rFonts w:hint="eastAsia" w:ascii="宋体" w:hAnsi="宋体" w:eastAsia="宋体" w:cs="宋体"/>
          <w:b/>
          <w:color w:val="auto"/>
          <w:sz w:val="30"/>
          <w:szCs w:val="30"/>
          <w:highlight w:val="none"/>
        </w:rPr>
      </w:pPr>
    </w:p>
    <w:p w14:paraId="7C7BF47D">
      <w:pPr>
        <w:adjustRightInd w:val="0"/>
        <w:snapToGrid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二、符合性审查</w:t>
      </w:r>
    </w:p>
    <w:tbl>
      <w:tblPr>
        <w:tblStyle w:val="19"/>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66"/>
        <w:gridCol w:w="9016"/>
      </w:tblGrid>
      <w:tr w14:paraId="018CAE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32210ED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9016" w:type="dxa"/>
            <w:tcBorders>
              <w:top w:val="single" w:color="auto" w:sz="6" w:space="0"/>
              <w:bottom w:val="single" w:color="auto" w:sz="6" w:space="0"/>
              <w:right w:val="single" w:color="auto" w:sz="6" w:space="0"/>
            </w:tcBorders>
            <w:noWrap w:val="0"/>
            <w:vAlign w:val="center"/>
          </w:tcPr>
          <w:p w14:paraId="1124D07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审查情况</w:t>
            </w:r>
          </w:p>
        </w:tc>
      </w:tr>
      <w:tr w14:paraId="6C3FD0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56496413">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016" w:type="dxa"/>
            <w:tcBorders>
              <w:top w:val="single" w:color="auto" w:sz="6" w:space="0"/>
              <w:bottom w:val="single" w:color="auto" w:sz="6" w:space="0"/>
              <w:right w:val="single" w:color="auto" w:sz="6" w:space="0"/>
            </w:tcBorders>
            <w:noWrap w:val="0"/>
            <w:vAlign w:val="center"/>
          </w:tcPr>
          <w:p w14:paraId="381F853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评标委员会应当对符合资格条件的投标人的投标文件进行符合性审查，以确定其是否满足招标文件商务、技术等实质性要求</w:t>
            </w:r>
            <w:r>
              <w:rPr>
                <w:rFonts w:hint="eastAsia" w:ascii="宋体" w:hAnsi="宋体" w:eastAsia="宋体" w:cs="宋体"/>
                <w:color w:val="auto"/>
                <w:sz w:val="24"/>
                <w:szCs w:val="24"/>
                <w:highlight w:val="none"/>
              </w:rPr>
              <w:t>。</w:t>
            </w:r>
          </w:p>
        </w:tc>
      </w:tr>
      <w:tr w14:paraId="6C032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2128DFAF">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38C5036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招标文件的规定，从投标文件的有效性、完整性和对招标文件的响应程度进行审查，以确定是否对招标文件的实质性要求作出响应。评标委员会决定投标文件的响应性只根据投标文件真实无误的内容，而不依据外部的证据，但投标文件有不真实、不正确的内容时除外。</w:t>
            </w:r>
          </w:p>
        </w:tc>
      </w:tr>
      <w:tr w14:paraId="4BDF4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29293801">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433D55A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投标人不得通过修正或撤销不合要求的偏离从而使其投标成为实质上响应的投标。</w:t>
            </w:r>
          </w:p>
        </w:tc>
      </w:tr>
      <w:tr w14:paraId="1B02FA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35BF9C0A">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9016" w:type="dxa"/>
            <w:tcBorders>
              <w:top w:val="single" w:color="auto" w:sz="6" w:space="0"/>
              <w:bottom w:val="single" w:color="auto" w:sz="6" w:space="0"/>
              <w:right w:val="single" w:color="auto" w:sz="6" w:space="0"/>
            </w:tcBorders>
            <w:noWrap w:val="0"/>
            <w:vAlign w:val="center"/>
          </w:tcPr>
          <w:p w14:paraId="7DE6C69C">
            <w:pPr>
              <w:adjustRightInd w:val="0"/>
              <w:snapToGrid w:val="0"/>
              <w:spacing w:line="360" w:lineRule="auto"/>
              <w:ind w:firstLine="1771" w:firstLineChars="735"/>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投标文件属下列情况之一的，投标无效：</w:t>
            </w:r>
          </w:p>
        </w:tc>
      </w:tr>
      <w:tr w14:paraId="039A32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2F4515D7">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7339C5F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投标文件中商务技术文件未按照招标文件规定要求签署、盖章的</w:t>
            </w:r>
          </w:p>
        </w:tc>
      </w:tr>
      <w:tr w14:paraId="2C1F20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762C018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2CD107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投标文件没有对招标文件的实质性要求和条件作出响应，或者对招标文件的偏差超出招标文件规定的偏差范围或最高项数；</w:t>
            </w:r>
          </w:p>
        </w:tc>
      </w:tr>
      <w:tr w14:paraId="0D9D7C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311AB932">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74854CC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报价超过招标文件中规定的预算金额或者最高限价的；</w:t>
            </w:r>
          </w:p>
        </w:tc>
      </w:tr>
      <w:tr w14:paraId="4E68AA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66" w:type="dxa"/>
            <w:tcBorders>
              <w:top w:val="single" w:color="auto" w:sz="6" w:space="0"/>
              <w:left w:val="single" w:color="auto" w:sz="6" w:space="0"/>
              <w:bottom w:val="single" w:color="auto" w:sz="6" w:space="0"/>
            </w:tcBorders>
            <w:noWrap w:val="0"/>
            <w:vAlign w:val="center"/>
          </w:tcPr>
          <w:p w14:paraId="2D39FF0D">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3839434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投标有效期不足的；</w:t>
            </w:r>
          </w:p>
        </w:tc>
      </w:tr>
      <w:tr w14:paraId="7C5F63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66" w:type="dxa"/>
            <w:tcBorders>
              <w:top w:val="single" w:color="auto" w:sz="6" w:space="0"/>
              <w:left w:val="single" w:color="auto" w:sz="6" w:space="0"/>
              <w:bottom w:val="single" w:color="auto" w:sz="6" w:space="0"/>
            </w:tcBorders>
            <w:noWrap w:val="0"/>
            <w:vAlign w:val="center"/>
          </w:tcPr>
          <w:p w14:paraId="0E6CABA4">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6976328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投标文件含有采购人不能接受的附加条件的；</w:t>
            </w:r>
          </w:p>
        </w:tc>
      </w:tr>
      <w:tr w14:paraId="75E92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66" w:type="dxa"/>
            <w:tcBorders>
              <w:top w:val="single" w:color="auto" w:sz="6" w:space="0"/>
              <w:left w:val="single" w:color="auto" w:sz="6" w:space="0"/>
              <w:bottom w:val="single" w:color="auto" w:sz="6" w:space="0"/>
            </w:tcBorders>
            <w:noWrap w:val="0"/>
            <w:vAlign w:val="center"/>
          </w:tcPr>
          <w:p w14:paraId="2D258A1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3E33AFC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和招标文件规定的其他投标无效情形的；</w:t>
            </w:r>
          </w:p>
        </w:tc>
      </w:tr>
      <w:tr w14:paraId="1D3404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39E23D96">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eastAsia="zh-CN"/>
              </w:rPr>
              <w:t>)</w:t>
            </w:r>
          </w:p>
        </w:tc>
        <w:tc>
          <w:tcPr>
            <w:tcW w:w="9016" w:type="dxa"/>
            <w:tcBorders>
              <w:top w:val="single" w:color="auto" w:sz="6" w:space="0"/>
              <w:bottom w:val="single" w:color="auto" w:sz="6" w:space="0"/>
              <w:right w:val="single" w:color="auto" w:sz="6" w:space="0"/>
            </w:tcBorders>
            <w:noWrap w:val="0"/>
            <w:vAlign w:val="center"/>
          </w:tcPr>
          <w:p w14:paraId="69F15FE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投标标的范围小于采购标的范围的。</w:t>
            </w:r>
          </w:p>
        </w:tc>
      </w:tr>
      <w:tr w14:paraId="5DB3DE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37C2EEC4">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9016" w:type="dxa"/>
            <w:tcBorders>
              <w:top w:val="single" w:color="auto" w:sz="6" w:space="0"/>
              <w:bottom w:val="single" w:color="auto" w:sz="6" w:space="0"/>
              <w:right w:val="single" w:color="auto" w:sz="6" w:space="0"/>
            </w:tcBorders>
            <w:noWrap w:val="0"/>
            <w:vAlign w:val="center"/>
          </w:tcPr>
          <w:p w14:paraId="14605CC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不符合★条款</w:t>
            </w:r>
          </w:p>
        </w:tc>
      </w:tr>
      <w:tr w14:paraId="50CF75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3E22AFE7">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9016" w:type="dxa"/>
            <w:tcBorders>
              <w:top w:val="single" w:color="auto" w:sz="6" w:space="0"/>
              <w:bottom w:val="single" w:color="auto" w:sz="6" w:space="0"/>
              <w:right w:val="single" w:color="auto" w:sz="6" w:space="0"/>
            </w:tcBorders>
            <w:noWrap w:val="0"/>
            <w:vAlign w:val="center"/>
          </w:tcPr>
          <w:p w14:paraId="6235898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投标文件电子文档有病毒</w:t>
            </w:r>
          </w:p>
        </w:tc>
      </w:tr>
      <w:tr w14:paraId="7F19F0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49E44D65">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016" w:type="dxa"/>
            <w:tcBorders>
              <w:top w:val="single" w:color="auto" w:sz="6" w:space="0"/>
              <w:bottom w:val="single" w:color="auto" w:sz="6" w:space="0"/>
              <w:right w:val="single" w:color="auto" w:sz="6" w:space="0"/>
            </w:tcBorders>
            <w:noWrap w:val="0"/>
            <w:vAlign w:val="top"/>
          </w:tcPr>
          <w:p w14:paraId="447B553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投标文件用不属于本中心的电子密钥进行加密</w:t>
            </w:r>
          </w:p>
        </w:tc>
      </w:tr>
      <w:tr w14:paraId="6AE33A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24BDE302">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9016" w:type="dxa"/>
            <w:tcBorders>
              <w:top w:val="single" w:color="auto" w:sz="6" w:space="0"/>
              <w:bottom w:val="single" w:color="auto" w:sz="6" w:space="0"/>
              <w:right w:val="single" w:color="auto" w:sz="6" w:space="0"/>
            </w:tcBorders>
            <w:noWrap w:val="0"/>
            <w:vAlign w:val="top"/>
          </w:tcPr>
          <w:p w14:paraId="1152982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选择</w:t>
            </w:r>
            <w:r>
              <w:rPr>
                <w:rFonts w:hint="eastAsia" w:ascii="宋体" w:hAnsi="宋体" w:eastAsia="宋体" w:cs="宋体"/>
                <w:color w:val="auto"/>
                <w:sz w:val="24"/>
                <w:szCs w:val="24"/>
                <w:highlight w:val="none"/>
              </w:rPr>
              <w:t>了非本项目的加密规则文件，导致投标文件不能在开标时解密</w:t>
            </w:r>
          </w:p>
        </w:tc>
      </w:tr>
      <w:tr w14:paraId="6396D1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578AC556">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9016" w:type="dxa"/>
            <w:tcBorders>
              <w:top w:val="single" w:color="auto" w:sz="6" w:space="0"/>
              <w:bottom w:val="single" w:color="auto" w:sz="6" w:space="0"/>
              <w:right w:val="single" w:color="auto" w:sz="6" w:space="0"/>
            </w:tcBorders>
            <w:noWrap w:val="0"/>
            <w:vAlign w:val="top"/>
          </w:tcPr>
          <w:p w14:paraId="2610084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规定的其他情形</w:t>
            </w:r>
          </w:p>
        </w:tc>
      </w:tr>
      <w:tr w14:paraId="408D7E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2CB59855">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9016" w:type="dxa"/>
            <w:tcBorders>
              <w:top w:val="single" w:color="auto" w:sz="6" w:space="0"/>
              <w:bottom w:val="single" w:color="auto" w:sz="6" w:space="0"/>
              <w:right w:val="single" w:color="auto" w:sz="6" w:space="0"/>
            </w:tcBorders>
            <w:noWrap w:val="0"/>
            <w:vAlign w:val="top"/>
          </w:tcPr>
          <w:p w14:paraId="125E04ED">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评审中出现下列情形之一的，评审委员会应当启动异常低价投标（响应）审查程序：</w:t>
            </w:r>
          </w:p>
          <w:p w14:paraId="61AD615E">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（1）投标（响应）报价低于全部通过符合性审查供应商投标（响应）报价平均值 65% 的，即投标（响应）报价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全部通过符合性审查供应商投标（响应）报价平均值×65%；</w:t>
            </w:r>
          </w:p>
          <w:p w14:paraId="4FDDE82C">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（2）投标（响应）报价低于通过符合性审查的次低报价供应商投标（响应）报价 65% 的，即投标（响应）报价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通过符合性审查的次低报价供应商投标（响应）报价×65%；</w:t>
            </w:r>
          </w:p>
          <w:p w14:paraId="4B0E8B34">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（3）投标（响应）报价低于采购项目最高限价65%的，即投标（响应）报价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采购项目最高限价×65%；</w:t>
            </w:r>
          </w:p>
          <w:p w14:paraId="0BC3433F">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（4）评审委员会基于专业判断，认为供应商报价过低，有可能影响产品质量或者不能诚信履约的其他情形。</w:t>
            </w:r>
          </w:p>
          <w:p w14:paraId="37CF2233">
            <w:pPr>
              <w:adjustRightInd w:val="0"/>
              <w:snapToGrid w:val="0"/>
              <w:spacing w:line="360" w:lineRule="auto"/>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评审委员会启动异常低价投标（响应）审查后，属于前述第1项至第4项情形的，应当要求相关供应商在评审现场合理的时间内对投标（响应）价格作出解释</w:t>
            </w:r>
            <w:r>
              <w:rPr>
                <w:rFonts w:hint="eastAsia" w:ascii="宋体" w:hAnsi="宋体" w:eastAsia="宋体" w:cs="宋体"/>
                <w:color w:val="auto"/>
                <w:sz w:val="24"/>
                <w:szCs w:val="24"/>
                <w:highlight w:val="none"/>
                <w:lang w:eastAsia="zh-CN"/>
              </w:rPr>
              <w:t>，并</w:t>
            </w:r>
            <w:r>
              <w:rPr>
                <w:rFonts w:ascii="宋体" w:hAnsi="宋体" w:eastAsia="宋体" w:cs="宋体"/>
                <w:color w:val="auto"/>
                <w:sz w:val="24"/>
                <w:szCs w:val="24"/>
                <w:highlight w:val="none"/>
              </w:rPr>
              <w:t>提供项目具体成本测算等与报价合理性书面说明、必要的证明材料及对保障项目履约的说明，包括但不限于原材料成本、人工成本、制造费用等，给予相关供应商的合理时间一般不少于60分钟。其中，属于第3项情形，供应商已随投标（响应）文件一并提交相关书面说明、必要的证明材料及对保障项目履约的说明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必要的证明材料及对保障项目履约的说明能证明其报价合理性的，评审委员会应当将其作为无效投标（响应）处理。</w:t>
            </w:r>
          </w:p>
        </w:tc>
      </w:tr>
      <w:tr w14:paraId="2FFA0B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6ECA01A3">
            <w:pPr>
              <w:adjustRightInd w:val="0"/>
              <w:snapToGrid w:val="0"/>
              <w:spacing w:before="156" w:beforeLines="50"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9016" w:type="dxa"/>
            <w:tcBorders>
              <w:top w:val="single" w:color="auto" w:sz="6" w:space="0"/>
              <w:bottom w:val="single" w:color="auto" w:sz="6" w:space="0"/>
              <w:right w:val="single" w:color="auto" w:sz="6" w:space="0"/>
            </w:tcBorders>
            <w:noWrap w:val="0"/>
            <w:vAlign w:val="top"/>
          </w:tcPr>
          <w:p w14:paraId="72B325E1">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（由于系统字数限制，接上条）</w:t>
            </w:r>
          </w:p>
          <w:p w14:paraId="17040EAF">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注：</w:t>
            </w:r>
          </w:p>
          <w:p w14:paraId="736E25BB">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ascii="宋体" w:hAnsi="宋体" w:eastAsia="宋体" w:cs="宋体"/>
                <w:color w:val="auto"/>
                <w:sz w:val="24"/>
                <w:szCs w:val="24"/>
                <w:highlight w:val="none"/>
              </w:rPr>
              <w:t>报价合理性书面说明、必要的证明材料及对保障项目履约的说明是指：</w:t>
            </w:r>
          </w:p>
          <w:p w14:paraId="5DC3533D">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1.1书面说明：</w:t>
            </w:r>
          </w:p>
          <w:p w14:paraId="22FEA6CD">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供应商对报价完整性、准确性的说明：说明内容涵盖是否已认真核算自身报价不存在错项、漏项、价格计算错误等问题，对采购项目产生或可能产生的全生命周期成本均按采购文件约定进行报价。供应商发现报价存在错项、漏项、价格计算错误等问题的，应详细说明具体问题，并承诺在项目执行过程中，不在国家规定和合同约定之外以任何名义再收取费用；</w:t>
            </w:r>
          </w:p>
          <w:p w14:paraId="2E2B360A">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供应商对报价合理性的说明：①说明供应商在产品制造或采购成本、人力成本、技术优势、政策补贴等</w:t>
            </w:r>
            <w:r>
              <w:rPr>
                <w:rFonts w:hint="eastAsia" w:ascii="宋体" w:hAnsi="宋体" w:eastAsia="宋体" w:cs="宋体"/>
                <w:color w:val="auto"/>
                <w:sz w:val="24"/>
                <w:szCs w:val="24"/>
                <w:highlight w:val="none"/>
                <w:lang w:eastAsia="zh-CN"/>
              </w:rPr>
              <w:t>方面</w:t>
            </w:r>
            <w:r>
              <w:rPr>
                <w:rFonts w:ascii="宋体" w:hAnsi="宋体" w:eastAsia="宋体" w:cs="宋体"/>
                <w:color w:val="auto"/>
                <w:sz w:val="24"/>
                <w:szCs w:val="24"/>
                <w:highlight w:val="none"/>
              </w:rPr>
              <w:t>是否存在成本优势，对存在的优势进行分析说明；②说明采取低价参与本采购项目考虑的因素及利益诉求；③说明每一项标的及项目全生命周期内其他可能产生的成本的具体价格测算；④说明对可能产生理解差异的标的的说明（如有），供应商就采购人采购需求可能存在理解差异的，详细阐明自身的理解及实现的技术服务路径与价格测算。</w:t>
            </w:r>
          </w:p>
          <w:p w14:paraId="24AA0871">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对于成品类货物标的，供应商应提供包括但不限于产品采购成本、产品制造</w:t>
            </w:r>
            <w:r>
              <w:rPr>
                <w:rFonts w:hint="eastAsia" w:ascii="宋体" w:hAnsi="宋体" w:eastAsia="宋体" w:cs="宋体"/>
                <w:color w:val="auto"/>
                <w:sz w:val="24"/>
                <w:szCs w:val="24"/>
                <w:highlight w:val="none"/>
                <w:lang w:eastAsia="zh-CN"/>
              </w:rPr>
              <w:t>成本</w:t>
            </w:r>
            <w:r>
              <w:rPr>
                <w:rFonts w:ascii="宋体" w:hAnsi="宋体" w:eastAsia="宋体" w:cs="宋体"/>
                <w:color w:val="auto"/>
                <w:sz w:val="24"/>
                <w:szCs w:val="24"/>
                <w:highlight w:val="none"/>
              </w:rPr>
              <w:t>、人工成本、安装成本、运输成本、管理费用、销售费用、财务费用、税费、利润、其他开支等；</w:t>
            </w:r>
          </w:p>
          <w:p w14:paraId="29E7C7AC">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1.2必要的证明材料必须包括但不限于：</w:t>
            </w:r>
          </w:p>
          <w:p w14:paraId="0D169BF4">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①产品采购成本：产品购买发票、与销售方签订的有效合同（需体现分项单价、数量），或制造商出厂价证明文件；</w:t>
            </w:r>
          </w:p>
          <w:p w14:paraId="3F1A2529">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②产品制造成本：成本核算方法说明、原材料采购发票、加工费发票、生产工艺单、能耗记录、生产设备折旧分摊表、生产工时统计表、与该成本核算方法相关的其他费用、第三方成本审计报告（如有）；</w:t>
            </w:r>
          </w:p>
          <w:p w14:paraId="5BD0C8DC">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③人工成本：项目参与人员的近3个月工资发放银行流水、社保/公积金缴费明细、个税申报记录（人员信息需一致）</w:t>
            </w:r>
            <w:r>
              <w:rPr>
                <w:rFonts w:hint="eastAsia" w:ascii="宋体" w:hAnsi="宋体" w:eastAsia="宋体" w:cs="宋体"/>
                <w:color w:val="auto"/>
                <w:sz w:val="24"/>
                <w:szCs w:val="24"/>
                <w:highlight w:val="none"/>
                <w:lang w:eastAsia="zh-CN"/>
              </w:rPr>
              <w:t>，以</w:t>
            </w:r>
            <w:r>
              <w:rPr>
                <w:rFonts w:ascii="宋体" w:hAnsi="宋体" w:eastAsia="宋体" w:cs="宋体"/>
                <w:color w:val="auto"/>
                <w:sz w:val="24"/>
                <w:szCs w:val="24"/>
                <w:highlight w:val="none"/>
              </w:rPr>
              <w:t>及人员岗位匹配说明；</w:t>
            </w:r>
          </w:p>
          <w:p w14:paraId="0A9A9D26">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④安装成本：安装工人工资流水、奖金津贴发放凭证、安装服务合同（如有分包需提供分包协议及分包方资质）；</w:t>
            </w:r>
          </w:p>
          <w:p w14:paraId="2B2A116C">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⑤运输成本：运输成本测算明细单（需列明完整成本构成，加盖报价单位公章：里程、吨数、趟次、运输路线起止地、运输周期；分项成本：燃油费、过路费、车辆折旧/租赁费、司机薪酬、保险、维保、装卸费、仓储中转费、税费、管理分摊费单趟/单位货物（吨/立方）综合运输成本核算表，附计算公式），运输合作主体资质文件（如为自有车队：车辆行驶证、营运证、车辆产权登记证明、司机从业资格证；如为外包第三方物流：物流企业营业执照、道路运输经营许可证、双方长期运输合作框架合同）；</w:t>
            </w:r>
          </w:p>
          <w:p w14:paraId="46DF00A0">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⑥管理费用、税费、利润：管理费用需提供费用分摊依据（如办公场地租赁发票、行政人员薪酬明细）；税费需提供近1年纳税申报表或完税证明；利润需说明测算比例的行业依据</w:t>
            </w:r>
          </w:p>
          <w:p w14:paraId="7DA3600F">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⑦其他开支：同类项目历史成交合同、市场价格调研报告（参考主要电商平台价格、行业协会发布的平均成本）、技术专利证书（体现技术优势）等。</w:t>
            </w:r>
          </w:p>
          <w:p w14:paraId="2F058F99">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1.3供应商对保障项目履约的说明：具体说明参与采购项目的盈利或亏损预期分析，对于预期亏损的，还要说明企业（单位）资产负债情况，亏损承受能力分析，化解亏损或保障持续履约能力的措施等。</w:t>
            </w:r>
          </w:p>
          <w:p w14:paraId="334E690C">
            <w:pPr>
              <w:adjustRightInd w:val="0"/>
              <w:snapToGrid w:val="0"/>
              <w:spacing w:line="360" w:lineRule="auto"/>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注：供应商应按照评审专家规定的时间及时提交。采购项目评审过程中，安排对项目成本测算情况，项目执行情况熟悉的工作人员，随时准备接受评审小组的澄清提问。</w:t>
            </w:r>
          </w:p>
        </w:tc>
      </w:tr>
    </w:tbl>
    <w:p w14:paraId="1655345F">
      <w:pPr>
        <w:rPr>
          <w:rFonts w:hint="eastAsia" w:ascii="宋体" w:hAnsi="宋体" w:eastAsia="宋体" w:cs="宋体"/>
          <w:color w:val="auto"/>
          <w:sz w:val="18"/>
          <w:szCs w:val="18"/>
          <w:highlight w:val="none"/>
        </w:rPr>
      </w:pPr>
    </w:p>
    <w:p w14:paraId="246F85A2">
      <w:pPr>
        <w:rPr>
          <w:rFonts w:hint="eastAsia" w:ascii="宋体" w:hAnsi="宋体" w:eastAsia="宋体" w:cs="宋体"/>
          <w:color w:val="auto"/>
          <w:highlight w:val="none"/>
        </w:rPr>
      </w:pPr>
      <w:bookmarkStart w:id="12" w:name="EB2ce06a89012740eb8fec903de7ae6e75"/>
    </w:p>
    <w:p w14:paraId="451DD390">
      <w:pPr>
        <w:pStyle w:val="24"/>
        <w:jc w:val="center"/>
        <w:rPr>
          <w:rFonts w:hint="eastAsia" w:ascii="宋体" w:hAnsi="宋体" w:eastAsia="宋体" w:cs="宋体"/>
          <w:color w:val="auto"/>
          <w:sz w:val="40"/>
          <w:highlight w:val="none"/>
        </w:rPr>
      </w:pPr>
      <w:r>
        <w:rPr>
          <w:rFonts w:hint="eastAsia" w:ascii="宋体" w:hAnsi="宋体" w:eastAsia="宋体" w:cs="宋体"/>
          <w:color w:val="auto"/>
          <w:sz w:val="40"/>
          <w:highlight w:val="none"/>
        </w:rPr>
        <w:t>取值范围</w:t>
      </w:r>
    </w:p>
    <w:p w14:paraId="2ACB852D">
      <w:pPr>
        <w:pStyle w:val="25"/>
        <w:jc w:val="center"/>
        <w:rPr>
          <w:rFonts w:hint="eastAsia" w:ascii="宋体" w:hAnsi="宋体" w:eastAsia="宋体" w:cs="宋体"/>
          <w:color w:val="auto"/>
          <w:highlight w:val="none"/>
        </w:rPr>
      </w:pPr>
      <w:r>
        <w:rPr>
          <w:rFonts w:hint="eastAsia" w:ascii="宋体" w:hAnsi="宋体" w:eastAsia="宋体" w:cs="宋体"/>
          <w:color w:val="auto"/>
          <w:highlight w:val="none"/>
        </w:rPr>
        <w:t>1.2.3权值的取值范围见下表，本采购项目的权值为：</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7"/>
        <w:gridCol w:w="3137"/>
        <w:gridCol w:w="4408"/>
      </w:tblGrid>
      <w:tr w14:paraId="0031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50EEFDE">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13BB348">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3F5CFBC">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权值的取值</w:t>
            </w:r>
          </w:p>
        </w:tc>
      </w:tr>
      <w:tr w14:paraId="1454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0663463">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C297DD9">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0D495C7">
            <w:pPr>
              <w:pStyle w:val="26"/>
              <w:jc w:val="center"/>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50%</w:t>
            </w:r>
          </w:p>
        </w:tc>
      </w:tr>
      <w:tr w14:paraId="709B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C5B4FB3">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BFF459F">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1ADF2E9">
            <w:pPr>
              <w:pStyle w:val="26"/>
              <w:jc w:val="center"/>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40%</w:t>
            </w:r>
          </w:p>
        </w:tc>
      </w:tr>
      <w:tr w14:paraId="139C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D5D479B">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4BD9C3E">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C97F1AD">
            <w:pPr>
              <w:pStyle w:val="26"/>
              <w:jc w:val="center"/>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r>
      <w:tr w14:paraId="3470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A15D847">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1AB1F83">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F05737A">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p>
        </w:tc>
      </w:tr>
      <w:tr w14:paraId="1BD8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917318F">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1+2+3+4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w:t>
            </w:r>
          </w:p>
        </w:tc>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2A5D034">
            <w:pPr>
              <w:pStyle w:val="2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r>
    </w:tbl>
    <w:p w14:paraId="64345061">
      <w:pPr>
        <w:pStyle w:val="27"/>
        <w:jc w:val="center"/>
        <w:rPr>
          <w:rFonts w:hint="eastAsia" w:ascii="宋体" w:hAnsi="宋体" w:eastAsia="宋体" w:cs="宋体"/>
          <w:color w:val="auto"/>
          <w:sz w:val="40"/>
          <w:highlight w:val="none"/>
        </w:rPr>
      </w:pPr>
      <w:r>
        <w:rPr>
          <w:rFonts w:hint="eastAsia" w:ascii="宋体" w:hAnsi="宋体" w:eastAsia="宋体" w:cs="宋体"/>
          <w:color w:val="auto"/>
          <w:sz w:val="40"/>
          <w:highlight w:val="none"/>
        </w:rPr>
        <w:t>报价评审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1381"/>
        <w:gridCol w:w="7427"/>
        <w:gridCol w:w="936"/>
      </w:tblGrid>
      <w:tr w14:paraId="4F9F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342DDD9">
            <w:pPr>
              <w:pStyle w:val="2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121" w:type="pct"/>
            <w:gridSpan w:val="2"/>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89A64DD">
            <w:pPr>
              <w:pStyle w:val="2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4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02DE4FC">
            <w:pPr>
              <w:pStyle w:val="2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得</w:t>
            </w:r>
            <w:r>
              <w:rPr>
                <w:rFonts w:hint="eastAsia" w:ascii="宋体" w:hAnsi="宋体" w:eastAsia="宋体" w:cs="宋体"/>
                <w:color w:val="auto"/>
                <w:sz w:val="24"/>
                <w:szCs w:val="24"/>
                <w:highlight w:val="none"/>
              </w:rPr>
              <w:t>分</w:t>
            </w:r>
          </w:p>
        </w:tc>
      </w:tr>
      <w:tr w14:paraId="6935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8F5984B">
            <w:pPr>
              <w:pStyle w:val="2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81"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5F65D1E">
            <w:pPr>
              <w:pStyle w:val="26"/>
              <w:jc w:val="center"/>
              <w:rPr>
                <w:rFonts w:hint="eastAsia" w:ascii="宋体" w:hAnsi="宋体" w:cs="宋体"/>
                <w:color w:val="auto"/>
                <w:sz w:val="24"/>
                <w:szCs w:val="24"/>
                <w:highlight w:val="none"/>
              </w:rPr>
            </w:pPr>
            <w:r>
              <w:rPr>
                <w:rFonts w:ascii="宋体" w:hAnsi="宋体" w:eastAsia="宋体" w:cs="宋体"/>
                <w:color w:val="auto"/>
                <w:sz w:val="24"/>
                <w:szCs w:val="24"/>
                <w:highlight w:val="none"/>
              </w:rPr>
              <w:t>投标报价</w:t>
            </w:r>
          </w:p>
        </w:tc>
        <w:tc>
          <w:tcPr>
            <w:tcW w:w="742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59722AE">
            <w:pPr>
              <w:pStyle w:val="26"/>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以经评标委员会一致认定满足招标文件要求且投标价格最低的投标报价为评标基准价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其价格得分计满分。其他投标人的价格得分统一按公式计算：投标报价得分=</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评标基准价/投标报价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X价格权值。</w:t>
            </w:r>
          </w:p>
          <w:p w14:paraId="78674FFB">
            <w:pPr>
              <w:pStyle w:val="26"/>
              <w:jc w:val="center"/>
              <w:rPr>
                <w:rFonts w:hint="eastAsia" w:ascii="宋体" w:hAnsi="宋体" w:cs="宋体"/>
                <w:color w:val="auto"/>
                <w:sz w:val="24"/>
                <w:szCs w:val="24"/>
                <w:highlight w:val="none"/>
              </w:rPr>
            </w:pPr>
            <w:r>
              <w:rPr>
                <w:rFonts w:hint="eastAsia" w:ascii="宋体" w:hAnsi="宋体" w:eastAsia="宋体" w:cs="宋体"/>
                <w:color w:val="auto"/>
                <w:kern w:val="2"/>
                <w:sz w:val="24"/>
                <w:szCs w:val="24"/>
                <w:highlight w:val="none"/>
                <w:lang w:val="en-US" w:eastAsia="zh-CN"/>
              </w:rPr>
              <w:t>注：评审委员会启动异常低价投标（响应）审查程序详见符合性审查表。</w:t>
            </w:r>
          </w:p>
        </w:tc>
        <w:tc>
          <w:tcPr>
            <w:tcW w:w="93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F310C05">
            <w:pPr>
              <w:pStyle w:val="26"/>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50</w:t>
            </w:r>
          </w:p>
        </w:tc>
      </w:tr>
    </w:tbl>
    <w:p w14:paraId="35485A07">
      <w:pPr>
        <w:pStyle w:val="29"/>
        <w:jc w:val="center"/>
        <w:rPr>
          <w:rFonts w:hint="eastAsia" w:ascii="宋体" w:hAnsi="宋体" w:eastAsia="宋体" w:cs="宋体"/>
          <w:color w:val="auto"/>
          <w:sz w:val="40"/>
          <w:highlight w:val="none"/>
        </w:rPr>
      </w:pPr>
      <w:r>
        <w:rPr>
          <w:rFonts w:hint="eastAsia" w:ascii="宋体" w:hAnsi="宋体" w:eastAsia="宋体" w:cs="宋体"/>
          <w:color w:val="auto"/>
          <w:sz w:val="40"/>
          <w:highlight w:val="none"/>
        </w:rPr>
        <w:t>技术评审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376"/>
        <w:gridCol w:w="7558"/>
        <w:gridCol w:w="793"/>
      </w:tblGrid>
      <w:tr w14:paraId="3E8E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9077408">
            <w:pPr>
              <w:pStyle w:val="3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181" w:type="pct"/>
            <w:gridSpan w:val="2"/>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FB523E8">
            <w:pPr>
              <w:pStyle w:val="3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8E9CCA3">
            <w:pPr>
              <w:pStyle w:val="3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得</w:t>
            </w:r>
            <w:r>
              <w:rPr>
                <w:rFonts w:hint="eastAsia" w:ascii="宋体" w:hAnsi="宋体" w:eastAsia="宋体" w:cs="宋体"/>
                <w:color w:val="auto"/>
                <w:sz w:val="24"/>
                <w:szCs w:val="24"/>
                <w:highlight w:val="none"/>
              </w:rPr>
              <w:t>分</w:t>
            </w:r>
          </w:p>
        </w:tc>
      </w:tr>
      <w:tr w14:paraId="7690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B1B676D">
            <w:pPr>
              <w:pStyle w:val="3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37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46E51D2">
            <w:pPr>
              <w:pStyle w:val="3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产品配置及技术参数</w:t>
            </w:r>
          </w:p>
        </w:tc>
        <w:tc>
          <w:tcPr>
            <w:tcW w:w="7558"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363E8AD">
            <w:pPr>
              <w:autoSpaceDE w:val="0"/>
              <w:autoSpaceDN w:val="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所投产品技术参数及配置符合招标文件要求的计20分，注“▲”号的参数有负偏离的，一项扣3分，未注“▲”号的参数有负偏离的，一项扣1分，扣完为止。</w:t>
            </w:r>
          </w:p>
          <w:p w14:paraId="220F0033">
            <w:pPr>
              <w:pStyle w:val="3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注：①招标文件已明确证明材料名称的参数必须按招标文件要求提供证明材料，未按要求提供视为负偏离；②其他参数提供产品技术白皮书（封面+与技术参数相关的页面）或检测报告或产品制造商出具的产品技术参数承诺书，未提供视为负偏离。③产品技术参数响应表等性能描述若与招标文件要求的证明材料或技术白皮书或检测报告或产品技术参数承诺书表述不一致按负偏离扣分。④投标人应在提供的证明材料中一一注明或标出对应参数条款。</w:t>
            </w:r>
          </w:p>
        </w:tc>
        <w:tc>
          <w:tcPr>
            <w:tcW w:w="79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E2176EB">
            <w:pPr>
              <w:jc w:val="center"/>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20</w:t>
            </w:r>
          </w:p>
        </w:tc>
      </w:tr>
      <w:tr w14:paraId="65D0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4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7EB69BF">
            <w:pPr>
              <w:pStyle w:val="3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37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E4DEA0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项目理解分析</w:t>
            </w:r>
          </w:p>
        </w:tc>
        <w:tc>
          <w:tcPr>
            <w:tcW w:w="7558"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27FDD8A">
            <w:pPr>
              <w:autoSpaceDE w:val="0"/>
              <w:autoSpaceDN w:val="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提供的项目理解分析内容包括但不限于：①项目建设目标、功能定位与服务需求理解②项目重点难点分析及应对措施（包含但不限于节能专项方案、噪声控制专项方案）③关键工序的质量控制④生物安全风险识别与防控体系建设理解⑤GLP认证的取证流程及关键检查节点。</w:t>
            </w:r>
          </w:p>
          <w:p w14:paraId="1F3FB41B">
            <w:pPr>
              <w:autoSpaceDE w:val="0"/>
              <w:autoSpaceDN w:val="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方案内容具体全面、有深刻的理解和分析、所提观点与本项目建设要求完全相符、并提出全面、详细、具体的应对措施和解决方案的计</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分，每缺少一项内容扣</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分，有一处描述存在缺陷或欠完善或描述不详或有错误的，每处扣</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xml:space="preserve">分，扣完为止；未提供方案的不计分。 </w:t>
            </w:r>
          </w:p>
          <w:p w14:paraId="35A0AFD0">
            <w:pPr>
              <w:autoSpaceDE w:val="0"/>
              <w:autoSpaceDN w:val="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注：“内容缺项”是指内容不完整或缺失一项采购文件明确要求的实施相关内容；“存在缺陷”指内容逻辑缺陷、缺少关键节点、套用其他项目方案、凭空编造与本项目无关内容、无法指导项目实施；方案合理性存在问题（包含逻辑推导错误、假设条件设置错误、未覆盖关键实施变量、未考量核心业务场景）；“欠完善”指方案非专门针对本项目或不适用项目、与项目实际情况不符的情形、不利于项目建设、不可能实现的情形；“描述不详” 指文字表述粗浅、空洞模糊、精准度不足，核心工作流程、落地举措交代不清，无法清晰传递实施思路与细节；“有错误” 指项目名称、项目编号、内容无关、涉及的规范及标准错误、前后逻辑矛盾、文字存在歧义、整体表述混乱。</w:t>
            </w:r>
          </w:p>
        </w:tc>
        <w:tc>
          <w:tcPr>
            <w:tcW w:w="79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567F798">
            <w:pPr>
              <w:jc w:val="center"/>
              <w:rPr>
                <w:rFonts w:hint="default" w:ascii="宋体" w:hAnsi="宋体" w:eastAsia="宋体" w:cs="宋体"/>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10</w:t>
            </w:r>
          </w:p>
        </w:tc>
      </w:tr>
      <w:tr w14:paraId="245B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4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9977296">
            <w:pPr>
              <w:pStyle w:val="30"/>
              <w:jc w:val="center"/>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37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84E022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技术服务方案</w:t>
            </w:r>
          </w:p>
        </w:tc>
        <w:tc>
          <w:tcPr>
            <w:tcW w:w="7558"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307ABF5">
            <w:pPr>
              <w:autoSpaceDE w:val="0"/>
              <w:autoSpaceDN w:val="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需根据实际情况提供技术服务方案，包括但不限于：①工程进度计划与人力资源配备措施②安全质量管理体系与措施③安装、调试方案及措施④BIM深化实施方案⑤重点楼层工艺平面展示效果、重点区域装修意向效果图等。</w:t>
            </w:r>
          </w:p>
          <w:p w14:paraId="335C47DC">
            <w:pPr>
              <w:autoSpaceDE w:val="0"/>
              <w:autoSpaceDN w:val="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方案内容完整、结构合理、逻辑清晰，</w:t>
            </w:r>
            <w:r>
              <w:rPr>
                <w:rFonts w:hint="eastAsia" w:ascii="宋体" w:hAnsi="宋体" w:eastAsia="宋体" w:cs="宋体"/>
                <w:color w:val="auto"/>
                <w:kern w:val="0"/>
                <w:sz w:val="24"/>
                <w:szCs w:val="24"/>
                <w:highlight w:val="none"/>
                <w:lang w:val="en-US" w:eastAsia="zh-CN"/>
              </w:rPr>
              <w:t>与项目特点相结合，成果及目标可落地性强，实施流程科学，</w:t>
            </w:r>
            <w:r>
              <w:rPr>
                <w:rFonts w:hint="eastAsia" w:ascii="宋体" w:hAnsi="宋体" w:eastAsia="宋体" w:cs="宋体"/>
                <w:color w:val="auto"/>
                <w:kern w:val="0"/>
                <w:sz w:val="24"/>
                <w:szCs w:val="24"/>
                <w:highlight w:val="none"/>
              </w:rPr>
              <w:t>且全面响应并满足项目实际需求的计1</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分；每缺少一项内容扣</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分，有一处描述存在缺陷或欠完善或描述不详或有错误的，每处扣</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分，扣完为止；未提供方案的不计分。</w:t>
            </w:r>
          </w:p>
          <w:p w14:paraId="3008E63E">
            <w:pPr>
              <w:autoSpaceDE w:val="0"/>
              <w:autoSpaceDN w:val="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注：“内容缺项”是指内容不完整或缺失一项采购文件明确要求的实施相关内容；“存在缺陷”指内容逻辑缺陷、缺少关键节点、套用其他项目方案、凭空编造与本项目无关内容、无法指导项目实施；方案合理性存在问题（包含逻辑推导错误、假设条件设置错误、未覆盖关键实施变量、未考量核心业务场景）；“欠完善”指方案非专门针对本项目或不适用项目、与项目实际情况不符的情形、不利于项目建设、不可能实现的情形；“描述不详” 指文字表述粗浅、空洞模糊、精准度不足，核心工作流程、落地举措交代不清，无法清晰传递实施思路与细节；“有错误” 指项目名称、项目编号、内容无关、涉及的规范及标准错误、前后逻辑矛盾、文字存在歧义、整体表述混乱。</w:t>
            </w:r>
          </w:p>
        </w:tc>
        <w:tc>
          <w:tcPr>
            <w:tcW w:w="79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6C9EDE0">
            <w:pPr>
              <w:jc w:val="center"/>
              <w:rPr>
                <w:rFonts w:hint="eastAsia" w:ascii="宋体" w:hAnsi="宋体" w:eastAsia="宋体" w:cs="宋体"/>
                <w:color w:val="auto"/>
                <w:sz w:val="24"/>
                <w:szCs w:val="24"/>
                <w:highlight w:val="none"/>
                <w:lang w:eastAsia="zh-CN"/>
              </w:rPr>
            </w:pPr>
            <w:r>
              <w:rPr>
                <w:rFonts w:hint="eastAsia"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lang w:val="en-US" w:eastAsia="zh-CN"/>
              </w:rPr>
              <w:t>0</w:t>
            </w:r>
          </w:p>
        </w:tc>
      </w:tr>
    </w:tbl>
    <w:p w14:paraId="2AF6FF64">
      <w:pPr>
        <w:pStyle w:val="31"/>
        <w:jc w:val="center"/>
        <w:rPr>
          <w:rFonts w:hint="eastAsia" w:ascii="宋体" w:hAnsi="宋体" w:eastAsia="宋体" w:cs="宋体"/>
          <w:color w:val="auto"/>
          <w:sz w:val="40"/>
          <w:highlight w:val="none"/>
        </w:rPr>
      </w:pPr>
      <w:r>
        <w:rPr>
          <w:rFonts w:hint="eastAsia" w:ascii="宋体" w:hAnsi="宋体" w:eastAsia="宋体" w:cs="宋体"/>
          <w:color w:val="auto"/>
          <w:sz w:val="40"/>
          <w:highlight w:val="none"/>
        </w:rPr>
        <w:t>商务评审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665"/>
        <w:gridCol w:w="7666"/>
        <w:gridCol w:w="652"/>
      </w:tblGrid>
      <w:tr w14:paraId="44F7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752F418">
            <w:pPr>
              <w:pStyle w:val="3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9331" w:type="dxa"/>
            <w:gridSpan w:val="2"/>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9063FBA">
            <w:pPr>
              <w:pStyle w:val="3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52"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4392530">
            <w:pPr>
              <w:pStyle w:val="3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得</w:t>
            </w:r>
            <w:r>
              <w:rPr>
                <w:rFonts w:hint="eastAsia" w:ascii="宋体" w:hAnsi="宋体" w:eastAsia="宋体" w:cs="宋体"/>
                <w:color w:val="auto"/>
                <w:sz w:val="24"/>
                <w:szCs w:val="24"/>
                <w:highlight w:val="none"/>
              </w:rPr>
              <w:t>分</w:t>
            </w:r>
          </w:p>
        </w:tc>
      </w:tr>
      <w:tr w14:paraId="7AFC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F7B95D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6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695484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业绩</w:t>
            </w:r>
          </w:p>
        </w:tc>
        <w:tc>
          <w:tcPr>
            <w:tcW w:w="766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D12FE9C">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投标人自2021年10月1日至本项目投标截止时间（以竣工验收证明材料时间为准）每完成过一个单个合同金额不少于3000万元的动物实验（或动物房）同类项目实施业绩，每个计1分，满分8分。</w:t>
            </w:r>
          </w:p>
          <w:p w14:paraId="016BDA2B">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注</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：上述动物实验（或动物房）同类项目实施业绩是指合同承包内容含“实验动物”或“动物实验”或“动物房”或“药物评价”关键内容。</w:t>
            </w:r>
          </w:p>
          <w:p w14:paraId="7121098E">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评审依据：同时提供以下证明材料：①加盖合同甲方公章的竣工验收证明材料扫描件；②业绩合同或中标通知书扫描件。③对应项目申领的实验动物许可证扫描件。以上证明材料加盖投标单位公章；否则不计分。</w:t>
            </w:r>
          </w:p>
          <w:p w14:paraId="76EF9284">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注</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：若合同无法直接体现业绩内容评审指标的须同时提供加盖了合同甲方公章的清单和说明函。</w:t>
            </w:r>
          </w:p>
        </w:tc>
        <w:tc>
          <w:tcPr>
            <w:tcW w:w="652"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488C86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r>
      <w:tr w14:paraId="6127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145FF9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6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703E2CC">
            <w:pPr>
              <w:jc w:val="center"/>
              <w:rPr>
                <w:rFonts w:hint="eastAsia" w:ascii="宋体" w:hAnsi="宋体" w:eastAsia="宋体" w:cs="宋体"/>
                <w:color w:val="auto"/>
                <w:sz w:val="24"/>
                <w:szCs w:val="24"/>
                <w:highlight w:val="none"/>
              </w:rPr>
            </w:pPr>
            <w:r>
              <w:rPr>
                <w:rFonts w:hint="eastAsia" w:ascii="Times New Roman" w:hAnsi="Times New Roman" w:eastAsia="宋体" w:cs="Times New Roman"/>
                <w:color w:val="auto"/>
                <w:sz w:val="24"/>
                <w:szCs w:val="24"/>
                <w:highlight w:val="none"/>
              </w:rPr>
              <w:t>企业奖项荣誉</w:t>
            </w:r>
          </w:p>
        </w:tc>
        <w:tc>
          <w:tcPr>
            <w:tcW w:w="766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B9EC7A9">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自2021年10月1日以来（以颁奖文件颁发日期或官网文件发布时间为准），投标人参建或承建的同类项目（“实验动物”或“动物实验”或“动物房”或“药物评价”）获得县级及以上奖项情况进行评审。每提供1个</w:t>
            </w:r>
            <w:r>
              <w:rPr>
                <w:rFonts w:hint="eastAsia" w:ascii="宋体" w:hAnsi="宋体" w:eastAsia="宋体" w:cs="宋体"/>
                <w:color w:val="auto"/>
                <w:kern w:val="2"/>
                <w:sz w:val="24"/>
                <w:szCs w:val="24"/>
                <w:highlight w:val="none"/>
                <w:lang w:val="en-US" w:eastAsia="zh-CN"/>
              </w:rPr>
              <w:t>计</w:t>
            </w:r>
            <w:r>
              <w:rPr>
                <w:rFonts w:hint="eastAsia" w:ascii="宋体" w:hAnsi="宋体" w:eastAsia="宋体" w:cs="宋体"/>
                <w:color w:val="auto"/>
                <w:kern w:val="2"/>
                <w:sz w:val="24"/>
                <w:szCs w:val="24"/>
                <w:highlight w:val="none"/>
              </w:rPr>
              <w:t>1分，本项满分2分。</w:t>
            </w:r>
          </w:p>
          <w:p w14:paraId="2D89936E">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提供颁奖单位的颁奖文件（颁奖文件不含奖杯、奖牌）或奖状或获奖证书或颁奖单位官网文件的截图，能体现投标单位名称；（2）时间以获奖文件（或证书）落款时间或网上公示时间为准；（3）奖项、荣誉以行政主管部门或在国内依法登记注册的行业协会（或学会）颁发的奖项、荣誉为准。</w:t>
            </w:r>
          </w:p>
          <w:p w14:paraId="67B9315E">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投标文件中提供的奖项、荣誉证明资料应符合下列要求，否则不予认可：①“国内依法登记注册”以中国社会组织政务服务平台查询结果为准。针对国内依法登记注册的行业协会（或学会）颁发的奖项、荣誉，投标文件中须提供颁奖单位在中国社会组织政务服务平台查询结果截图，未提供不得分。②民政部公布的“离岸社团</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山寨社团”颁发的奖项、荣誉均无效。</w:t>
            </w:r>
          </w:p>
          <w:p w14:paraId="31D7CE30">
            <w:pPr>
              <w:pStyle w:val="3"/>
              <w:ind w:firstLine="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评审依据：提供颁奖单位能体现单位名称的颁奖文件（颁奖文件不含奖杯、奖牌）、奖状或获奖证书或颁奖单位官网文件的截图的扫描件加盖投标单位公章。</w:t>
            </w:r>
          </w:p>
        </w:tc>
        <w:tc>
          <w:tcPr>
            <w:tcW w:w="652"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45A312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bl>
    <w:p w14:paraId="28A38EAE">
      <w:pPr>
        <w:pStyle w:val="33"/>
        <w:jc w:val="center"/>
        <w:rPr>
          <w:rFonts w:hint="eastAsia" w:ascii="宋体" w:hAnsi="宋体" w:eastAsia="宋体" w:cs="宋体"/>
          <w:color w:val="auto"/>
          <w:sz w:val="36"/>
          <w:highlight w:val="none"/>
        </w:rPr>
      </w:pPr>
    </w:p>
    <w:p w14:paraId="5B48179E">
      <w:pPr>
        <w:pStyle w:val="33"/>
        <w:jc w:val="center"/>
        <w:rPr>
          <w:rFonts w:hint="eastAsia" w:ascii="宋体" w:hAnsi="宋体" w:eastAsia="宋体" w:cs="宋体"/>
          <w:color w:val="auto"/>
          <w:sz w:val="36"/>
          <w:highlight w:val="none"/>
        </w:rPr>
      </w:pPr>
    </w:p>
    <w:p w14:paraId="49BF9E93">
      <w:pPr>
        <w:pStyle w:val="33"/>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★条款汇总</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9983"/>
      </w:tblGrid>
      <w:tr w14:paraId="2E31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noWrap w:val="0"/>
            <w:vAlign w:val="top"/>
          </w:tcPr>
          <w:p w14:paraId="593B2989">
            <w:pP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9983" w:type="dxa"/>
            <w:noWrap w:val="0"/>
            <w:vAlign w:val="top"/>
          </w:tcPr>
          <w:p w14:paraId="08266229">
            <w:pPr>
              <w:pStyle w:val="33"/>
              <w:widowControl w:val="0"/>
              <w:jc w:val="center"/>
              <w:rPr>
                <w:rFonts w:hint="eastAsia" w:ascii="宋体" w:hAnsi="宋体" w:eastAsia="宋体" w:cs="宋体"/>
                <w:color w:val="auto"/>
                <w:highlight w:val="none"/>
              </w:rPr>
            </w:pPr>
            <w:r>
              <w:rPr>
                <w:rFonts w:hint="eastAsia" w:ascii="宋体" w:hAnsi="宋体" w:eastAsia="宋体" w:cs="宋体"/>
                <w:color w:val="auto"/>
                <w:highlight w:val="none"/>
              </w:rPr>
              <w:t>条款内容</w:t>
            </w:r>
          </w:p>
        </w:tc>
      </w:tr>
      <w:tr w14:paraId="74A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699" w:type="dxa"/>
            <w:noWrap w:val="0"/>
            <w:vAlign w:val="center"/>
          </w:tcPr>
          <w:p w14:paraId="29A1ECDF">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9983" w:type="dxa"/>
            <w:noWrap w:val="0"/>
            <w:vAlign w:val="center"/>
          </w:tcPr>
          <w:p w14:paraId="70EB6AC2">
            <w:pPr>
              <w:jc w:val="center"/>
              <w:rPr>
                <w:rFonts w:hint="eastAsia" w:ascii="宋体" w:hAnsi="宋体" w:eastAsia="宋体" w:cs="宋体"/>
                <w:color w:val="auto"/>
                <w:sz w:val="18"/>
                <w:szCs w:val="18"/>
                <w:highlight w:val="none"/>
              </w:rPr>
            </w:pPr>
          </w:p>
        </w:tc>
      </w:tr>
    </w:tbl>
    <w:p w14:paraId="7B9B7005">
      <w:pPr>
        <w:pStyle w:val="34"/>
        <w:rPr>
          <w:rFonts w:hint="eastAsia" w:ascii="宋体" w:hAnsi="宋体" w:eastAsia="宋体" w:cs="宋体"/>
          <w:color w:val="auto"/>
          <w:highlight w:val="none"/>
        </w:rPr>
      </w:pPr>
      <w:r>
        <w:rPr>
          <w:rFonts w:hint="eastAsia" w:ascii="宋体" w:hAnsi="宋体" w:eastAsia="宋体" w:cs="宋体"/>
          <w:color w:val="auto"/>
          <w:highlight w:val="none"/>
        </w:rPr>
        <w:t>商务部分，技术部分★号条款未在★条款汇总表中的，请视为无效★号条款。</w:t>
      </w:r>
    </w:p>
    <w:bookmarkEnd w:id="12"/>
    <w:p w14:paraId="4704C25F">
      <w:pPr>
        <w:rPr>
          <w:rFonts w:hint="eastAsia" w:ascii="宋体" w:hAnsi="宋体" w:eastAsia="宋体" w:cs="宋体"/>
          <w:color w:val="auto"/>
          <w:sz w:val="20"/>
          <w:highlight w:val="none"/>
        </w:rPr>
      </w:pPr>
    </w:p>
    <w:p w14:paraId="71FC3898">
      <w:pPr>
        <w:rPr>
          <w:rFonts w:hint="eastAsia" w:ascii="宋体" w:hAnsi="宋体" w:cs="宋体"/>
          <w:b/>
          <w:color w:val="auto"/>
          <w:spacing w:val="160"/>
          <w:sz w:val="36"/>
          <w:szCs w:val="36"/>
          <w:highlight w:val="none"/>
        </w:rPr>
        <w:sectPr>
          <w:footerReference r:id="rId4" w:type="default"/>
          <w:pgSz w:w="11906" w:h="16838"/>
          <w:pgMar w:top="720" w:right="720" w:bottom="720" w:left="720" w:header="851" w:footer="992" w:gutter="0"/>
          <w:pgNumType w:start="1"/>
          <w:cols w:space="720" w:num="1"/>
          <w:docGrid w:type="lines" w:linePitch="312" w:charSpace="0"/>
        </w:sectPr>
      </w:pPr>
    </w:p>
    <w:p w14:paraId="7380AA03">
      <w:pPr>
        <w:pStyle w:val="35"/>
        <w:jc w:val="center"/>
        <w:rPr>
          <w:rFonts w:hint="eastAsia" w:ascii="宋体" w:hAnsi="宋体" w:cs="宋体"/>
          <w:color w:val="auto"/>
          <w:highlight w:val="none"/>
        </w:rPr>
      </w:pPr>
      <w:r>
        <w:rPr>
          <w:rFonts w:hint="eastAsia" w:ascii="宋体" w:hAnsi="宋体" w:cs="宋体"/>
          <w:color w:val="auto"/>
          <w:highlight w:val="none"/>
          <w:lang w:val="zh-CN"/>
        </w:rPr>
        <w:t>目</w:t>
      </w:r>
      <w:r>
        <w:rPr>
          <w:rFonts w:hint="eastAsia" w:ascii="宋体" w:hAnsi="宋体" w:cs="宋体"/>
          <w:color w:val="auto"/>
          <w:highlight w:val="none"/>
          <w:lang w:val="en-US" w:eastAsia="zh-CN"/>
        </w:rPr>
        <w:t xml:space="preserve">   </w:t>
      </w:r>
      <w:r>
        <w:rPr>
          <w:rFonts w:hint="eastAsia" w:ascii="宋体" w:hAnsi="宋体" w:cs="宋体"/>
          <w:color w:val="auto"/>
          <w:highlight w:val="none"/>
          <w:lang w:val="zh-CN"/>
        </w:rPr>
        <w:t>录</w:t>
      </w:r>
    </w:p>
    <w:p w14:paraId="75428089">
      <w:pPr>
        <w:pStyle w:val="15"/>
        <w:tabs>
          <w:tab w:val="right" w:leader="dot" w:pos="10456"/>
        </w:tabs>
        <w:ind w:firstLine="374"/>
        <w:rPr>
          <w:rFonts w:hint="eastAsia" w:cs="宋体"/>
          <w:color w:val="auto"/>
          <w:sz w:val="24"/>
          <w:szCs w:val="24"/>
          <w:highlight w:val="none"/>
        </w:rPr>
      </w:pPr>
      <w:r>
        <w:rPr>
          <w:rFonts w:hint="eastAsia" w:cs="宋体"/>
          <w:color w:val="auto"/>
          <w:highlight w:val="none"/>
        </w:rPr>
        <w:fldChar w:fldCharType="begin"/>
      </w:r>
      <w:r>
        <w:rPr>
          <w:rFonts w:hint="eastAsia" w:cs="宋体"/>
          <w:color w:val="auto"/>
          <w:highlight w:val="none"/>
        </w:rPr>
        <w:instrText xml:space="preserve"> TOC \o "1-3" \h \z \u </w:instrText>
      </w:r>
      <w:r>
        <w:rPr>
          <w:rFonts w:hint="eastAsia" w:cs="宋体"/>
          <w:color w:val="auto"/>
          <w:highlight w:val="none"/>
        </w:rPr>
        <w:fldChar w:fldCharType="separate"/>
      </w:r>
      <w:r>
        <w:rPr>
          <w:rStyle w:val="23"/>
          <w:rFonts w:hint="eastAsia" w:ascii="Times New Roman" w:hAnsi="Times New Roman" w:cs="宋体"/>
          <w:color w:val="auto"/>
          <w:sz w:val="24"/>
          <w:szCs w:val="24"/>
          <w:highlight w:val="none"/>
        </w:rPr>
        <w:fldChar w:fldCharType="begin"/>
      </w:r>
      <w:r>
        <w:rPr>
          <w:rStyle w:val="23"/>
          <w:rFonts w:hint="eastAsia" w:ascii="Times New Roman" w:hAnsi="Times New Roman" w:cs="宋体"/>
          <w:color w:val="auto"/>
          <w:sz w:val="24"/>
          <w:szCs w:val="24"/>
          <w:highlight w:val="none"/>
        </w:rPr>
        <w:instrText xml:space="preserve"> </w:instrText>
      </w:r>
      <w:r>
        <w:rPr>
          <w:rFonts w:hint="eastAsia" w:cs="宋体"/>
          <w:color w:val="auto"/>
          <w:sz w:val="24"/>
          <w:szCs w:val="24"/>
          <w:highlight w:val="none"/>
        </w:rPr>
        <w:instrText xml:space="preserve">HYPERLINK \l "_Toc129095604"</w:instrText>
      </w:r>
      <w:r>
        <w:rPr>
          <w:rStyle w:val="23"/>
          <w:rFonts w:hint="eastAsia" w:ascii="Times New Roman" w:hAnsi="Times New Roman" w:cs="宋体"/>
          <w:color w:val="auto"/>
          <w:sz w:val="24"/>
          <w:szCs w:val="24"/>
          <w:highlight w:val="none"/>
        </w:rPr>
        <w:instrText xml:space="preserve"> </w:instrText>
      </w:r>
      <w:r>
        <w:rPr>
          <w:rStyle w:val="23"/>
          <w:rFonts w:hint="eastAsia" w:ascii="Times New Roman" w:hAnsi="Times New Roman" w:cs="宋体"/>
          <w:color w:val="auto"/>
          <w:sz w:val="24"/>
          <w:szCs w:val="24"/>
          <w:highlight w:val="none"/>
        </w:rPr>
        <w:fldChar w:fldCharType="separate"/>
      </w:r>
      <w:r>
        <w:rPr>
          <w:rStyle w:val="23"/>
          <w:rFonts w:hint="eastAsia" w:ascii="Times New Roman" w:hAnsi="Times New Roman" w:cs="宋体"/>
          <w:b/>
          <w:color w:val="auto"/>
          <w:sz w:val="24"/>
          <w:szCs w:val="24"/>
          <w:highlight w:val="none"/>
        </w:rPr>
        <w:t>关键信息</w:t>
      </w:r>
      <w:r>
        <w:rPr>
          <w:rFonts w:hint="eastAsia" w:cs="宋体"/>
          <w:color w:val="auto"/>
          <w:sz w:val="24"/>
          <w:szCs w:val="24"/>
          <w:highlight w:val="none"/>
        </w:rPr>
        <w:tab/>
      </w:r>
      <w:r>
        <w:rPr>
          <w:rFonts w:hint="eastAsia" w:cs="宋体"/>
          <w:color w:val="auto"/>
          <w:sz w:val="24"/>
          <w:szCs w:val="24"/>
          <w:highlight w:val="none"/>
        </w:rPr>
        <w:fldChar w:fldCharType="begin"/>
      </w:r>
      <w:r>
        <w:rPr>
          <w:rFonts w:hint="eastAsia" w:cs="宋体"/>
          <w:color w:val="auto"/>
          <w:sz w:val="24"/>
          <w:szCs w:val="24"/>
          <w:highlight w:val="none"/>
        </w:rPr>
        <w:instrText xml:space="preserve"> PAGEREF _Toc129095604 \h </w:instrText>
      </w:r>
      <w:r>
        <w:rPr>
          <w:rFonts w:hint="eastAsia" w:cs="宋体"/>
          <w:color w:val="auto"/>
          <w:sz w:val="24"/>
          <w:szCs w:val="24"/>
          <w:highlight w:val="none"/>
        </w:rPr>
        <w:fldChar w:fldCharType="separate"/>
      </w:r>
      <w:r>
        <w:rPr>
          <w:rFonts w:hint="eastAsia" w:cs="宋体"/>
          <w:color w:val="auto"/>
          <w:sz w:val="24"/>
          <w:szCs w:val="24"/>
          <w:highlight w:val="none"/>
        </w:rPr>
        <w:t>1</w:t>
      </w:r>
      <w:r>
        <w:rPr>
          <w:rFonts w:hint="eastAsia" w:cs="宋体"/>
          <w:color w:val="auto"/>
          <w:sz w:val="24"/>
          <w:szCs w:val="24"/>
          <w:highlight w:val="none"/>
        </w:rPr>
        <w:fldChar w:fldCharType="end"/>
      </w:r>
      <w:r>
        <w:rPr>
          <w:rStyle w:val="23"/>
          <w:rFonts w:hint="eastAsia" w:ascii="Times New Roman" w:hAnsi="Times New Roman" w:cs="宋体"/>
          <w:color w:val="auto"/>
          <w:sz w:val="24"/>
          <w:szCs w:val="24"/>
          <w:highlight w:val="none"/>
        </w:rPr>
        <w:fldChar w:fldCharType="end"/>
      </w:r>
    </w:p>
    <w:p w14:paraId="41D8D4B5">
      <w:pPr>
        <w:pStyle w:val="15"/>
        <w:tabs>
          <w:tab w:val="right" w:leader="dot" w:pos="10456"/>
        </w:tabs>
        <w:rPr>
          <w:rFonts w:hint="eastAsia" w:cs="宋体"/>
          <w:color w:val="auto"/>
          <w:sz w:val="24"/>
          <w:szCs w:val="24"/>
          <w:highlight w:val="none"/>
        </w:rPr>
      </w:pPr>
      <w:r>
        <w:rPr>
          <w:rStyle w:val="23"/>
          <w:rFonts w:hint="eastAsia" w:ascii="Times New Roman" w:hAnsi="Times New Roman" w:cs="宋体"/>
          <w:color w:val="auto"/>
          <w:sz w:val="24"/>
          <w:szCs w:val="24"/>
          <w:highlight w:val="none"/>
        </w:rPr>
        <w:fldChar w:fldCharType="begin"/>
      </w:r>
      <w:r>
        <w:rPr>
          <w:rStyle w:val="23"/>
          <w:rFonts w:hint="eastAsia" w:ascii="Times New Roman" w:hAnsi="Times New Roman" w:cs="宋体"/>
          <w:color w:val="auto"/>
          <w:sz w:val="24"/>
          <w:szCs w:val="24"/>
          <w:highlight w:val="none"/>
        </w:rPr>
        <w:instrText xml:space="preserve"> </w:instrText>
      </w:r>
      <w:r>
        <w:rPr>
          <w:rFonts w:hint="eastAsia" w:cs="宋体"/>
          <w:color w:val="auto"/>
          <w:sz w:val="24"/>
          <w:szCs w:val="24"/>
          <w:highlight w:val="none"/>
        </w:rPr>
        <w:instrText xml:space="preserve">HYPERLINK \l "_Toc129095605"</w:instrText>
      </w:r>
      <w:r>
        <w:rPr>
          <w:rStyle w:val="23"/>
          <w:rFonts w:hint="eastAsia" w:ascii="Times New Roman" w:hAnsi="Times New Roman" w:cs="宋体"/>
          <w:color w:val="auto"/>
          <w:sz w:val="24"/>
          <w:szCs w:val="24"/>
          <w:highlight w:val="none"/>
        </w:rPr>
        <w:instrText xml:space="preserve"> </w:instrText>
      </w:r>
      <w:r>
        <w:rPr>
          <w:rStyle w:val="23"/>
          <w:rFonts w:hint="eastAsia" w:ascii="Times New Roman" w:hAnsi="Times New Roman" w:cs="宋体"/>
          <w:color w:val="auto"/>
          <w:sz w:val="24"/>
          <w:szCs w:val="24"/>
          <w:highlight w:val="none"/>
        </w:rPr>
        <w:fldChar w:fldCharType="separate"/>
      </w:r>
      <w:r>
        <w:rPr>
          <w:rStyle w:val="23"/>
          <w:rFonts w:hint="eastAsia" w:ascii="Times New Roman" w:hAnsi="Times New Roman" w:cs="宋体"/>
          <w:b/>
          <w:color w:val="auto"/>
          <w:sz w:val="24"/>
          <w:szCs w:val="24"/>
          <w:highlight w:val="none"/>
        </w:rPr>
        <w:t>第一章 投标邀请</w:t>
      </w:r>
      <w:r>
        <w:rPr>
          <w:rFonts w:hint="eastAsia" w:cs="宋体"/>
          <w:color w:val="auto"/>
          <w:sz w:val="24"/>
          <w:szCs w:val="24"/>
          <w:highlight w:val="none"/>
        </w:rPr>
        <w:tab/>
      </w:r>
      <w:r>
        <w:rPr>
          <w:rFonts w:hint="eastAsia" w:cs="宋体"/>
          <w:color w:val="auto"/>
          <w:sz w:val="24"/>
          <w:szCs w:val="24"/>
          <w:highlight w:val="none"/>
        </w:rPr>
        <w:fldChar w:fldCharType="begin"/>
      </w:r>
      <w:r>
        <w:rPr>
          <w:rFonts w:hint="eastAsia" w:cs="宋体"/>
          <w:color w:val="auto"/>
          <w:sz w:val="24"/>
          <w:szCs w:val="24"/>
          <w:highlight w:val="none"/>
        </w:rPr>
        <w:instrText xml:space="preserve"> PAGEREF _Toc129095605 \h </w:instrText>
      </w:r>
      <w:r>
        <w:rPr>
          <w:rFonts w:hint="eastAsia" w:cs="宋体"/>
          <w:color w:val="auto"/>
          <w:sz w:val="24"/>
          <w:szCs w:val="24"/>
          <w:highlight w:val="none"/>
        </w:rPr>
        <w:fldChar w:fldCharType="separate"/>
      </w:r>
      <w:r>
        <w:rPr>
          <w:rFonts w:hint="eastAsia" w:cs="宋体"/>
          <w:color w:val="auto"/>
          <w:sz w:val="24"/>
          <w:szCs w:val="24"/>
          <w:highlight w:val="none"/>
        </w:rPr>
        <w:t>2</w:t>
      </w:r>
      <w:r>
        <w:rPr>
          <w:rFonts w:hint="eastAsia" w:cs="宋体"/>
          <w:color w:val="auto"/>
          <w:sz w:val="24"/>
          <w:szCs w:val="24"/>
          <w:highlight w:val="none"/>
        </w:rPr>
        <w:fldChar w:fldCharType="end"/>
      </w:r>
      <w:r>
        <w:rPr>
          <w:rStyle w:val="23"/>
          <w:rFonts w:hint="eastAsia" w:ascii="Times New Roman" w:hAnsi="Times New Roman" w:cs="宋体"/>
          <w:color w:val="auto"/>
          <w:sz w:val="24"/>
          <w:szCs w:val="24"/>
          <w:highlight w:val="none"/>
        </w:rPr>
        <w:fldChar w:fldCharType="end"/>
      </w:r>
    </w:p>
    <w:p w14:paraId="2F8E3AB1">
      <w:pPr>
        <w:pStyle w:val="15"/>
        <w:tabs>
          <w:tab w:val="right" w:leader="dot" w:pos="10456"/>
        </w:tabs>
        <w:rPr>
          <w:rFonts w:hint="eastAsia" w:cs="宋体"/>
          <w:color w:val="auto"/>
          <w:sz w:val="24"/>
          <w:szCs w:val="24"/>
          <w:highlight w:val="none"/>
        </w:rPr>
      </w:pPr>
      <w:r>
        <w:rPr>
          <w:rStyle w:val="23"/>
          <w:rFonts w:hint="eastAsia" w:ascii="Times New Roman" w:hAnsi="Times New Roman" w:cs="宋体"/>
          <w:color w:val="auto"/>
          <w:sz w:val="24"/>
          <w:szCs w:val="24"/>
          <w:highlight w:val="none"/>
        </w:rPr>
        <w:fldChar w:fldCharType="begin"/>
      </w:r>
      <w:r>
        <w:rPr>
          <w:rStyle w:val="23"/>
          <w:rFonts w:hint="eastAsia" w:ascii="Times New Roman" w:hAnsi="Times New Roman" w:cs="宋体"/>
          <w:color w:val="auto"/>
          <w:sz w:val="24"/>
          <w:szCs w:val="24"/>
          <w:highlight w:val="none"/>
        </w:rPr>
        <w:instrText xml:space="preserve"> </w:instrText>
      </w:r>
      <w:r>
        <w:rPr>
          <w:rFonts w:hint="eastAsia" w:cs="宋体"/>
          <w:color w:val="auto"/>
          <w:sz w:val="24"/>
          <w:szCs w:val="24"/>
          <w:highlight w:val="none"/>
        </w:rPr>
        <w:instrText xml:space="preserve">HYPERLINK \l "_Toc129095606"</w:instrText>
      </w:r>
      <w:r>
        <w:rPr>
          <w:rStyle w:val="23"/>
          <w:rFonts w:hint="eastAsia" w:ascii="Times New Roman" w:hAnsi="Times New Roman" w:cs="宋体"/>
          <w:color w:val="auto"/>
          <w:sz w:val="24"/>
          <w:szCs w:val="24"/>
          <w:highlight w:val="none"/>
        </w:rPr>
        <w:instrText xml:space="preserve"> </w:instrText>
      </w:r>
      <w:r>
        <w:rPr>
          <w:rStyle w:val="23"/>
          <w:rFonts w:hint="eastAsia" w:ascii="Times New Roman" w:hAnsi="Times New Roman" w:cs="宋体"/>
          <w:color w:val="auto"/>
          <w:sz w:val="24"/>
          <w:szCs w:val="24"/>
          <w:highlight w:val="none"/>
        </w:rPr>
        <w:fldChar w:fldCharType="separate"/>
      </w:r>
      <w:r>
        <w:rPr>
          <w:rStyle w:val="23"/>
          <w:rFonts w:hint="eastAsia" w:ascii="Times New Roman" w:hAnsi="Times New Roman" w:cs="宋体"/>
          <w:b/>
          <w:color w:val="auto"/>
          <w:sz w:val="24"/>
          <w:szCs w:val="24"/>
          <w:highlight w:val="none"/>
        </w:rPr>
        <w:t>第二章 投标须知</w:t>
      </w:r>
      <w:r>
        <w:rPr>
          <w:rFonts w:hint="eastAsia" w:cs="宋体"/>
          <w:color w:val="auto"/>
          <w:sz w:val="24"/>
          <w:szCs w:val="24"/>
          <w:highlight w:val="none"/>
        </w:rPr>
        <w:tab/>
      </w:r>
      <w:r>
        <w:rPr>
          <w:rFonts w:hint="eastAsia" w:cs="宋体"/>
          <w:color w:val="auto"/>
          <w:sz w:val="24"/>
          <w:szCs w:val="24"/>
          <w:highlight w:val="none"/>
        </w:rPr>
        <w:fldChar w:fldCharType="begin"/>
      </w:r>
      <w:r>
        <w:rPr>
          <w:rFonts w:hint="eastAsia" w:cs="宋体"/>
          <w:color w:val="auto"/>
          <w:sz w:val="24"/>
          <w:szCs w:val="24"/>
          <w:highlight w:val="none"/>
        </w:rPr>
        <w:instrText xml:space="preserve"> PAGEREF _Toc129095606 \h </w:instrText>
      </w:r>
      <w:r>
        <w:rPr>
          <w:rFonts w:hint="eastAsia" w:cs="宋体"/>
          <w:color w:val="auto"/>
          <w:sz w:val="24"/>
          <w:szCs w:val="24"/>
          <w:highlight w:val="none"/>
        </w:rPr>
        <w:fldChar w:fldCharType="separate"/>
      </w:r>
      <w:r>
        <w:rPr>
          <w:rFonts w:hint="eastAsia" w:cs="宋体"/>
          <w:color w:val="auto"/>
          <w:sz w:val="24"/>
          <w:szCs w:val="24"/>
          <w:highlight w:val="none"/>
        </w:rPr>
        <w:t>6</w:t>
      </w:r>
      <w:r>
        <w:rPr>
          <w:rFonts w:hint="eastAsia" w:cs="宋体"/>
          <w:color w:val="auto"/>
          <w:sz w:val="24"/>
          <w:szCs w:val="24"/>
          <w:highlight w:val="none"/>
        </w:rPr>
        <w:fldChar w:fldCharType="end"/>
      </w:r>
      <w:r>
        <w:rPr>
          <w:rStyle w:val="23"/>
          <w:rFonts w:hint="eastAsia" w:ascii="Times New Roman" w:hAnsi="Times New Roman" w:cs="宋体"/>
          <w:color w:val="auto"/>
          <w:sz w:val="24"/>
          <w:szCs w:val="24"/>
          <w:highlight w:val="none"/>
        </w:rPr>
        <w:fldChar w:fldCharType="end"/>
      </w:r>
    </w:p>
    <w:p w14:paraId="196B060A">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"_Toc129095607"</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投标须知前附表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_Toc129095607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392C308B">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"_Toc129095608"</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一、总则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_Toc129095608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2B08C3E2">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"_Toc129095609"</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二、招标文件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_Toc129095609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49B7EE6C">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"_Toc129095610"</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三、投标文件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5FC293F2">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"_Toc129095611"</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四、投标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6F00348B">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"_Toc129095612"</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五、开标，资格审查和评标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6D952F23">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"_Toc129095613"</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六、中标信息公布</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1AA38FDA">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"_Toc129095614"</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七、合同签订</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19</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648DA0F6">
      <w:pPr>
        <w:pStyle w:val="11"/>
        <w:tabs>
          <w:tab w:val="right" w:leader="dot" w:pos="10456"/>
        </w:tabs>
        <w:ind w:left="840"/>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"_Toc129095615"</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八、其他规定</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2F39D043">
      <w:pPr>
        <w:pStyle w:val="15"/>
        <w:tabs>
          <w:tab w:val="right" w:leader="dot" w:pos="10456"/>
        </w:tabs>
        <w:rPr>
          <w:rFonts w:hint="eastAsia" w:cs="宋体"/>
          <w:color w:val="auto"/>
          <w:sz w:val="24"/>
          <w:szCs w:val="24"/>
          <w:highlight w:val="none"/>
        </w:rPr>
      </w:pPr>
      <w:r>
        <w:rPr>
          <w:rStyle w:val="23"/>
          <w:rFonts w:hint="eastAsia" w:ascii="Times New Roman" w:hAnsi="Times New Roman" w:cs="宋体"/>
          <w:color w:val="auto"/>
          <w:sz w:val="24"/>
          <w:szCs w:val="24"/>
          <w:highlight w:val="none"/>
        </w:rPr>
        <w:fldChar w:fldCharType="begin"/>
      </w:r>
      <w:r>
        <w:rPr>
          <w:rStyle w:val="23"/>
          <w:rFonts w:hint="eastAsia" w:ascii="Times New Roman" w:hAnsi="Times New Roman" w:cs="宋体"/>
          <w:color w:val="auto"/>
          <w:sz w:val="24"/>
          <w:szCs w:val="24"/>
          <w:highlight w:val="none"/>
        </w:rPr>
        <w:instrText xml:space="preserve"> </w:instrText>
      </w:r>
      <w:r>
        <w:rPr>
          <w:rFonts w:hint="eastAsia" w:cs="宋体"/>
          <w:color w:val="auto"/>
          <w:sz w:val="24"/>
          <w:szCs w:val="24"/>
          <w:highlight w:val="none"/>
        </w:rPr>
        <w:instrText xml:space="preserve">HYPERLINK \l "_Toc129095616"</w:instrText>
      </w:r>
      <w:r>
        <w:rPr>
          <w:rStyle w:val="23"/>
          <w:rFonts w:hint="eastAsia" w:ascii="Times New Roman" w:hAnsi="Times New Roman" w:cs="宋体"/>
          <w:color w:val="auto"/>
          <w:sz w:val="24"/>
          <w:szCs w:val="24"/>
          <w:highlight w:val="none"/>
        </w:rPr>
        <w:instrText xml:space="preserve"> </w:instrText>
      </w:r>
      <w:r>
        <w:rPr>
          <w:rStyle w:val="23"/>
          <w:rFonts w:hint="eastAsia" w:ascii="Times New Roman" w:hAnsi="Times New Roman" w:cs="宋体"/>
          <w:color w:val="auto"/>
          <w:sz w:val="24"/>
          <w:szCs w:val="24"/>
          <w:highlight w:val="none"/>
        </w:rPr>
        <w:fldChar w:fldCharType="separate"/>
      </w:r>
      <w:r>
        <w:rPr>
          <w:rStyle w:val="23"/>
          <w:rFonts w:hint="eastAsia" w:ascii="Times New Roman" w:hAnsi="Times New Roman" w:cs="宋体"/>
          <w:b/>
          <w:color w:val="auto"/>
          <w:sz w:val="24"/>
          <w:szCs w:val="24"/>
          <w:highlight w:val="none"/>
        </w:rPr>
        <w:t>第三章 评标方法及标准（综合评分法）</w:t>
      </w:r>
      <w:r>
        <w:rPr>
          <w:rFonts w:hint="eastAsia" w:cs="宋体"/>
          <w:color w:val="auto"/>
          <w:sz w:val="24"/>
          <w:szCs w:val="24"/>
          <w:highlight w:val="none"/>
        </w:rPr>
        <w:tab/>
      </w:r>
      <w:r>
        <w:rPr>
          <w:rFonts w:hint="eastAsia" w:cs="宋体"/>
          <w:color w:val="auto"/>
          <w:sz w:val="24"/>
          <w:szCs w:val="24"/>
          <w:highlight w:val="none"/>
        </w:rPr>
        <w:fldChar w:fldCharType="begin"/>
      </w:r>
      <w:r>
        <w:rPr>
          <w:rFonts w:hint="eastAsia" w:cs="宋体"/>
          <w:color w:val="auto"/>
          <w:sz w:val="24"/>
          <w:szCs w:val="24"/>
          <w:highlight w:val="none"/>
        </w:rPr>
        <w:instrText xml:space="preserve"> PAGEREF _Toc129095616 \h </w:instrText>
      </w:r>
      <w:r>
        <w:rPr>
          <w:rFonts w:hint="eastAsia" w:cs="宋体"/>
          <w:color w:val="auto"/>
          <w:sz w:val="24"/>
          <w:szCs w:val="24"/>
          <w:highlight w:val="none"/>
        </w:rPr>
        <w:fldChar w:fldCharType="separate"/>
      </w:r>
      <w:r>
        <w:rPr>
          <w:rFonts w:hint="eastAsia" w:cs="宋体"/>
          <w:color w:val="auto"/>
          <w:sz w:val="24"/>
          <w:szCs w:val="24"/>
          <w:highlight w:val="none"/>
        </w:rPr>
        <w:t>21</w:t>
      </w:r>
      <w:r>
        <w:rPr>
          <w:rFonts w:hint="eastAsia" w:cs="宋体"/>
          <w:color w:val="auto"/>
          <w:sz w:val="24"/>
          <w:szCs w:val="24"/>
          <w:highlight w:val="none"/>
        </w:rPr>
        <w:fldChar w:fldCharType="end"/>
      </w:r>
      <w:r>
        <w:rPr>
          <w:rStyle w:val="23"/>
          <w:rFonts w:hint="eastAsia" w:ascii="Times New Roman" w:hAnsi="Times New Roman" w:cs="宋体"/>
          <w:color w:val="auto"/>
          <w:sz w:val="24"/>
          <w:szCs w:val="24"/>
          <w:highlight w:val="none"/>
        </w:rPr>
        <w:fldChar w:fldCharType="end"/>
      </w:r>
    </w:p>
    <w:p w14:paraId="3CA83DD0">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"_Toc129095617"</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评标方法及标准前附表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00183B0D">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"_Toc129095618"</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评标因素及标准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2D7FBB19">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"_Toc129095619"</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color w:val="auto"/>
          <w:sz w:val="24"/>
          <w:szCs w:val="24"/>
          <w:highlight w:val="none"/>
        </w:rPr>
        <w:t>正文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_Toc129095619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27</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28A2A9A8">
      <w:pPr>
        <w:pStyle w:val="15"/>
        <w:tabs>
          <w:tab w:val="right" w:leader="dot" w:pos="10456"/>
        </w:tabs>
        <w:rPr>
          <w:rFonts w:hint="eastAsia" w:cs="宋体"/>
          <w:color w:val="auto"/>
          <w:sz w:val="24"/>
          <w:szCs w:val="24"/>
          <w:highlight w:val="none"/>
        </w:rPr>
      </w:pPr>
      <w:r>
        <w:rPr>
          <w:rStyle w:val="23"/>
          <w:rFonts w:hint="eastAsia" w:ascii="Times New Roman" w:hAnsi="Times New Roman" w:cs="宋体"/>
          <w:color w:val="auto"/>
          <w:sz w:val="24"/>
          <w:szCs w:val="24"/>
          <w:highlight w:val="none"/>
        </w:rPr>
        <w:fldChar w:fldCharType="begin"/>
      </w:r>
      <w:r>
        <w:rPr>
          <w:rStyle w:val="23"/>
          <w:rFonts w:hint="eastAsia" w:ascii="Times New Roman" w:hAnsi="Times New Roman" w:cs="宋体"/>
          <w:color w:val="auto"/>
          <w:sz w:val="24"/>
          <w:szCs w:val="24"/>
          <w:highlight w:val="none"/>
        </w:rPr>
        <w:instrText xml:space="preserve"> </w:instrText>
      </w:r>
      <w:r>
        <w:rPr>
          <w:rFonts w:hint="eastAsia" w:cs="宋体"/>
          <w:color w:val="auto"/>
          <w:sz w:val="24"/>
          <w:szCs w:val="24"/>
          <w:highlight w:val="none"/>
        </w:rPr>
        <w:instrText xml:space="preserve">HYPERLINK \l "_Toc129095620"</w:instrText>
      </w:r>
      <w:r>
        <w:rPr>
          <w:rStyle w:val="23"/>
          <w:rFonts w:hint="eastAsia" w:ascii="Times New Roman" w:hAnsi="Times New Roman" w:cs="宋体"/>
          <w:color w:val="auto"/>
          <w:sz w:val="24"/>
          <w:szCs w:val="24"/>
          <w:highlight w:val="none"/>
        </w:rPr>
        <w:instrText xml:space="preserve"> </w:instrText>
      </w:r>
      <w:r>
        <w:rPr>
          <w:rStyle w:val="23"/>
          <w:rFonts w:hint="eastAsia" w:ascii="Times New Roman" w:hAnsi="Times New Roman" w:cs="宋体"/>
          <w:color w:val="auto"/>
          <w:sz w:val="24"/>
          <w:szCs w:val="24"/>
          <w:highlight w:val="none"/>
        </w:rPr>
        <w:fldChar w:fldCharType="separate"/>
      </w:r>
      <w:r>
        <w:rPr>
          <w:rStyle w:val="23"/>
          <w:rFonts w:hint="eastAsia" w:ascii="Times New Roman" w:hAnsi="Times New Roman" w:cs="宋体"/>
          <w:b/>
          <w:color w:val="auto"/>
          <w:sz w:val="24"/>
          <w:szCs w:val="24"/>
          <w:highlight w:val="none"/>
        </w:rPr>
        <w:t>第四章 技术规格、参数与要求</w:t>
      </w:r>
      <w:r>
        <w:rPr>
          <w:rFonts w:hint="eastAsia" w:cs="宋体"/>
          <w:color w:val="auto"/>
          <w:sz w:val="24"/>
          <w:szCs w:val="24"/>
          <w:highlight w:val="none"/>
        </w:rPr>
        <w:tab/>
      </w:r>
      <w:r>
        <w:rPr>
          <w:rFonts w:hint="eastAsia" w:cs="宋体"/>
          <w:color w:val="auto"/>
          <w:sz w:val="24"/>
          <w:szCs w:val="24"/>
          <w:highlight w:val="none"/>
        </w:rPr>
        <w:fldChar w:fldCharType="begin"/>
      </w:r>
      <w:r>
        <w:rPr>
          <w:rFonts w:hint="eastAsia" w:cs="宋体"/>
          <w:color w:val="auto"/>
          <w:sz w:val="24"/>
          <w:szCs w:val="24"/>
          <w:highlight w:val="none"/>
        </w:rPr>
        <w:instrText xml:space="preserve"> PAGEREF _Toc129095620 \h </w:instrText>
      </w:r>
      <w:r>
        <w:rPr>
          <w:rFonts w:hint="eastAsia" w:cs="宋体"/>
          <w:color w:val="auto"/>
          <w:sz w:val="24"/>
          <w:szCs w:val="24"/>
          <w:highlight w:val="none"/>
        </w:rPr>
        <w:fldChar w:fldCharType="separate"/>
      </w:r>
      <w:r>
        <w:rPr>
          <w:rFonts w:hint="eastAsia" w:cs="宋体"/>
          <w:color w:val="auto"/>
          <w:sz w:val="24"/>
          <w:szCs w:val="24"/>
          <w:highlight w:val="none"/>
        </w:rPr>
        <w:t>31</w:t>
      </w:r>
      <w:r>
        <w:rPr>
          <w:rFonts w:hint="eastAsia" w:cs="宋体"/>
          <w:color w:val="auto"/>
          <w:sz w:val="24"/>
          <w:szCs w:val="24"/>
          <w:highlight w:val="none"/>
        </w:rPr>
        <w:fldChar w:fldCharType="end"/>
      </w:r>
      <w:r>
        <w:rPr>
          <w:rStyle w:val="23"/>
          <w:rFonts w:hint="eastAsia" w:ascii="Times New Roman" w:hAnsi="Times New Roman" w:cs="宋体"/>
          <w:color w:val="auto"/>
          <w:sz w:val="24"/>
          <w:szCs w:val="24"/>
          <w:highlight w:val="none"/>
        </w:rPr>
        <w:fldChar w:fldCharType="end"/>
      </w:r>
    </w:p>
    <w:p w14:paraId="76EED43E">
      <w:pPr>
        <w:pStyle w:val="15"/>
        <w:tabs>
          <w:tab w:val="right" w:leader="dot" w:pos="10456"/>
        </w:tabs>
        <w:rPr>
          <w:rFonts w:hint="eastAsia" w:cs="宋体"/>
          <w:color w:val="auto"/>
          <w:sz w:val="24"/>
          <w:szCs w:val="24"/>
          <w:highlight w:val="none"/>
        </w:rPr>
      </w:pPr>
      <w:r>
        <w:rPr>
          <w:rStyle w:val="23"/>
          <w:rFonts w:hint="eastAsia" w:ascii="Times New Roman" w:hAnsi="Times New Roman" w:cs="宋体"/>
          <w:color w:val="auto"/>
          <w:sz w:val="24"/>
          <w:szCs w:val="24"/>
          <w:highlight w:val="none"/>
        </w:rPr>
        <w:fldChar w:fldCharType="begin"/>
      </w:r>
      <w:r>
        <w:rPr>
          <w:rStyle w:val="23"/>
          <w:rFonts w:hint="eastAsia" w:ascii="Times New Roman" w:hAnsi="Times New Roman" w:cs="宋体"/>
          <w:color w:val="auto"/>
          <w:sz w:val="24"/>
          <w:szCs w:val="24"/>
          <w:highlight w:val="none"/>
        </w:rPr>
        <w:instrText xml:space="preserve"> </w:instrText>
      </w:r>
      <w:r>
        <w:rPr>
          <w:rFonts w:hint="eastAsia" w:cs="宋体"/>
          <w:color w:val="auto"/>
          <w:sz w:val="24"/>
          <w:szCs w:val="24"/>
          <w:highlight w:val="none"/>
        </w:rPr>
        <w:instrText xml:space="preserve">HYPERLINK \l "_Toc129095621"</w:instrText>
      </w:r>
      <w:r>
        <w:rPr>
          <w:rStyle w:val="23"/>
          <w:rFonts w:hint="eastAsia" w:ascii="Times New Roman" w:hAnsi="Times New Roman" w:cs="宋体"/>
          <w:color w:val="auto"/>
          <w:sz w:val="24"/>
          <w:szCs w:val="24"/>
          <w:highlight w:val="none"/>
        </w:rPr>
        <w:instrText xml:space="preserve"> </w:instrText>
      </w:r>
      <w:r>
        <w:rPr>
          <w:rStyle w:val="23"/>
          <w:rFonts w:hint="eastAsia" w:ascii="Times New Roman" w:hAnsi="Times New Roman" w:cs="宋体"/>
          <w:color w:val="auto"/>
          <w:sz w:val="24"/>
          <w:szCs w:val="24"/>
          <w:highlight w:val="none"/>
        </w:rPr>
        <w:fldChar w:fldCharType="separate"/>
      </w:r>
      <w:r>
        <w:rPr>
          <w:rStyle w:val="23"/>
          <w:rFonts w:hint="eastAsia" w:ascii="Times New Roman" w:hAnsi="Times New Roman" w:cs="宋体"/>
          <w:b/>
          <w:color w:val="auto"/>
          <w:sz w:val="24"/>
          <w:szCs w:val="24"/>
          <w:highlight w:val="none"/>
        </w:rPr>
        <w:t>第五章采购合同</w:t>
      </w:r>
      <w:r>
        <w:rPr>
          <w:rFonts w:hint="eastAsia" w:cs="宋体"/>
          <w:color w:val="auto"/>
          <w:sz w:val="24"/>
          <w:szCs w:val="24"/>
          <w:highlight w:val="none"/>
        </w:rPr>
        <w:tab/>
      </w:r>
      <w:r>
        <w:rPr>
          <w:rFonts w:hint="eastAsia" w:cs="宋体"/>
          <w:color w:val="auto"/>
          <w:sz w:val="24"/>
          <w:szCs w:val="24"/>
          <w:highlight w:val="none"/>
        </w:rPr>
        <w:fldChar w:fldCharType="begin"/>
      </w:r>
      <w:r>
        <w:rPr>
          <w:rFonts w:hint="eastAsia" w:cs="宋体"/>
          <w:color w:val="auto"/>
          <w:sz w:val="24"/>
          <w:szCs w:val="24"/>
          <w:highlight w:val="none"/>
        </w:rPr>
        <w:instrText xml:space="preserve"> PAGEREF _Toc129095621 \h </w:instrText>
      </w:r>
      <w:r>
        <w:rPr>
          <w:rFonts w:hint="eastAsia" w:cs="宋体"/>
          <w:color w:val="auto"/>
          <w:sz w:val="24"/>
          <w:szCs w:val="24"/>
          <w:highlight w:val="none"/>
        </w:rPr>
        <w:fldChar w:fldCharType="separate"/>
      </w:r>
      <w:r>
        <w:rPr>
          <w:rFonts w:hint="eastAsia" w:cs="宋体"/>
          <w:color w:val="auto"/>
          <w:sz w:val="24"/>
          <w:szCs w:val="24"/>
          <w:highlight w:val="none"/>
        </w:rPr>
        <w:t>229</w:t>
      </w:r>
      <w:r>
        <w:rPr>
          <w:rFonts w:hint="eastAsia" w:cs="宋体"/>
          <w:color w:val="auto"/>
          <w:sz w:val="24"/>
          <w:szCs w:val="24"/>
          <w:highlight w:val="none"/>
        </w:rPr>
        <w:fldChar w:fldCharType="end"/>
      </w:r>
      <w:r>
        <w:rPr>
          <w:rStyle w:val="23"/>
          <w:rFonts w:hint="eastAsia" w:ascii="Times New Roman" w:hAnsi="Times New Roman" w:cs="宋体"/>
          <w:color w:val="auto"/>
          <w:sz w:val="24"/>
          <w:szCs w:val="24"/>
          <w:highlight w:val="none"/>
        </w:rPr>
        <w:fldChar w:fldCharType="end"/>
      </w:r>
    </w:p>
    <w:p w14:paraId="66F3BBD6">
      <w:pPr>
        <w:pStyle w:val="15"/>
        <w:tabs>
          <w:tab w:val="right" w:leader="dot" w:pos="10456"/>
        </w:tabs>
        <w:rPr>
          <w:rFonts w:hint="eastAsia" w:cs="宋体"/>
          <w:color w:val="auto"/>
          <w:sz w:val="24"/>
          <w:szCs w:val="24"/>
          <w:highlight w:val="none"/>
        </w:rPr>
      </w:pPr>
      <w:r>
        <w:rPr>
          <w:rStyle w:val="23"/>
          <w:rFonts w:hint="eastAsia" w:ascii="Times New Roman" w:hAnsi="Times New Roman" w:cs="宋体"/>
          <w:color w:val="auto"/>
          <w:sz w:val="24"/>
          <w:szCs w:val="24"/>
          <w:highlight w:val="none"/>
        </w:rPr>
        <w:fldChar w:fldCharType="begin"/>
      </w:r>
      <w:r>
        <w:rPr>
          <w:rStyle w:val="23"/>
          <w:rFonts w:hint="eastAsia" w:ascii="Times New Roman" w:hAnsi="Times New Roman" w:cs="宋体"/>
          <w:color w:val="auto"/>
          <w:sz w:val="24"/>
          <w:szCs w:val="24"/>
          <w:highlight w:val="none"/>
        </w:rPr>
        <w:instrText xml:space="preserve"> </w:instrText>
      </w:r>
      <w:r>
        <w:rPr>
          <w:rFonts w:hint="eastAsia" w:cs="宋体"/>
          <w:color w:val="auto"/>
          <w:sz w:val="24"/>
          <w:szCs w:val="24"/>
          <w:highlight w:val="none"/>
        </w:rPr>
        <w:instrText xml:space="preserve">HYPERLINK \l "_Toc129095624"</w:instrText>
      </w:r>
      <w:r>
        <w:rPr>
          <w:rStyle w:val="23"/>
          <w:rFonts w:hint="eastAsia" w:ascii="Times New Roman" w:hAnsi="Times New Roman" w:cs="宋体"/>
          <w:color w:val="auto"/>
          <w:sz w:val="24"/>
          <w:szCs w:val="24"/>
          <w:highlight w:val="none"/>
        </w:rPr>
        <w:instrText xml:space="preserve"> </w:instrText>
      </w:r>
      <w:r>
        <w:rPr>
          <w:rStyle w:val="23"/>
          <w:rFonts w:hint="eastAsia" w:ascii="Times New Roman" w:hAnsi="Times New Roman" w:cs="宋体"/>
          <w:color w:val="auto"/>
          <w:sz w:val="24"/>
          <w:szCs w:val="24"/>
          <w:highlight w:val="none"/>
        </w:rPr>
        <w:fldChar w:fldCharType="separate"/>
      </w:r>
      <w:r>
        <w:rPr>
          <w:rStyle w:val="23"/>
          <w:rFonts w:hint="eastAsia" w:ascii="Times New Roman" w:hAnsi="Times New Roman" w:cs="宋体"/>
          <w:b/>
          <w:color w:val="auto"/>
          <w:sz w:val="24"/>
          <w:szCs w:val="24"/>
          <w:highlight w:val="none"/>
        </w:rPr>
        <w:t>第六章 投标文件的组成</w:t>
      </w:r>
      <w:r>
        <w:rPr>
          <w:rFonts w:hint="eastAsia" w:cs="宋体"/>
          <w:color w:val="auto"/>
          <w:sz w:val="24"/>
          <w:szCs w:val="24"/>
          <w:highlight w:val="none"/>
        </w:rPr>
        <w:tab/>
      </w:r>
      <w:r>
        <w:rPr>
          <w:rFonts w:hint="eastAsia" w:cs="宋体"/>
          <w:color w:val="auto"/>
          <w:sz w:val="24"/>
          <w:szCs w:val="24"/>
          <w:highlight w:val="none"/>
        </w:rPr>
        <w:fldChar w:fldCharType="begin"/>
      </w:r>
      <w:r>
        <w:rPr>
          <w:rFonts w:hint="eastAsia" w:cs="宋体"/>
          <w:color w:val="auto"/>
          <w:sz w:val="24"/>
          <w:szCs w:val="24"/>
          <w:highlight w:val="none"/>
        </w:rPr>
        <w:instrText xml:space="preserve"> PAGEREF _Toc129095624 \h </w:instrText>
      </w:r>
      <w:r>
        <w:rPr>
          <w:rFonts w:hint="eastAsia" w:cs="宋体"/>
          <w:color w:val="auto"/>
          <w:sz w:val="24"/>
          <w:szCs w:val="24"/>
          <w:highlight w:val="none"/>
        </w:rPr>
        <w:fldChar w:fldCharType="separate"/>
      </w:r>
      <w:r>
        <w:rPr>
          <w:rFonts w:hint="eastAsia" w:cs="宋体"/>
          <w:color w:val="auto"/>
          <w:sz w:val="24"/>
          <w:szCs w:val="24"/>
          <w:highlight w:val="none"/>
        </w:rPr>
        <w:t>231</w:t>
      </w:r>
      <w:r>
        <w:rPr>
          <w:rFonts w:hint="eastAsia" w:cs="宋体"/>
          <w:color w:val="auto"/>
          <w:sz w:val="24"/>
          <w:szCs w:val="24"/>
          <w:highlight w:val="none"/>
        </w:rPr>
        <w:fldChar w:fldCharType="end"/>
      </w:r>
      <w:r>
        <w:rPr>
          <w:rStyle w:val="23"/>
          <w:rFonts w:hint="eastAsia" w:ascii="Times New Roman" w:hAnsi="Times New Roman" w:cs="宋体"/>
          <w:color w:val="auto"/>
          <w:sz w:val="24"/>
          <w:szCs w:val="24"/>
          <w:highlight w:val="none"/>
        </w:rPr>
        <w:fldChar w:fldCharType="end"/>
      </w:r>
    </w:p>
    <w:p w14:paraId="07D9D279">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"_Toc129095625"</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一、封面</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_Toc129095625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232</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071DC3C3">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"_Toc129095626"</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二、投标函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_Toc129095626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233</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3FB2F273">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"_Toc129095627"</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三、开标一览表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_Toc129095627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234</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703A1B8E">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"_Toc129095628"</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四、商务响应/偏离表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_Toc129095628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236</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20F70EF9">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"_Toc129095629"</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五、投标人认为需提供的其他资料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_Toc129095629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237</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7118D17F">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"_Toc129095630"</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六、货物/服务说明一览表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238</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25847816">
      <w:pPr>
        <w:pStyle w:val="16"/>
        <w:tabs>
          <w:tab w:val="right" w:leader="dot" w:pos="10456"/>
        </w:tabs>
        <w:rPr>
          <w:rStyle w:val="23"/>
          <w:rFonts w:hint="eastAsia" w:ascii="宋体" w:hAnsi="宋体" w:eastAsia="宋体" w:cs="宋体"/>
          <w:b/>
          <w:color w:val="auto"/>
          <w:sz w:val="24"/>
          <w:szCs w:val="24"/>
          <w:highlight w:val="none"/>
        </w:rPr>
      </w:pP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HYPERLINK \l "_Toc129095631"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七、技术响应/偏离表</w:t>
      </w:r>
      <w:r>
        <w:rPr>
          <w:rStyle w:val="23"/>
          <w:rFonts w:hint="eastAsia" w:ascii="宋体" w:hAnsi="宋体" w:eastAsia="宋体" w:cs="宋体"/>
          <w:b/>
          <w:color w:val="auto"/>
          <w:sz w:val="24"/>
          <w:szCs w:val="24"/>
          <w:highlight w:val="none"/>
        </w:rPr>
        <w:tab/>
      </w: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PAGEREF _Toc129095631 \h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239</w:t>
      </w:r>
      <w:r>
        <w:rPr>
          <w:rStyle w:val="23"/>
          <w:rFonts w:hint="eastAsia" w:ascii="宋体" w:hAnsi="宋体" w:eastAsia="宋体" w:cs="宋体"/>
          <w:b/>
          <w:color w:val="auto"/>
          <w:sz w:val="24"/>
          <w:szCs w:val="24"/>
          <w:highlight w:val="none"/>
        </w:rPr>
        <w:fldChar w:fldCharType="end"/>
      </w:r>
      <w:r>
        <w:rPr>
          <w:rStyle w:val="23"/>
          <w:rFonts w:hint="eastAsia" w:ascii="宋体" w:hAnsi="宋体" w:eastAsia="宋体" w:cs="宋体"/>
          <w:b/>
          <w:color w:val="auto"/>
          <w:sz w:val="24"/>
          <w:szCs w:val="24"/>
          <w:highlight w:val="none"/>
        </w:rPr>
        <w:fldChar w:fldCharType="end"/>
      </w:r>
    </w:p>
    <w:p w14:paraId="2BE10CB2">
      <w:pPr>
        <w:pStyle w:val="16"/>
        <w:tabs>
          <w:tab w:val="right" w:leader="dot" w:pos="10456"/>
        </w:tabs>
        <w:rPr>
          <w:rStyle w:val="23"/>
          <w:rFonts w:hint="eastAsia" w:ascii="宋体" w:hAnsi="宋体" w:eastAsia="宋体" w:cs="宋体"/>
          <w:b/>
          <w:color w:val="auto"/>
          <w:sz w:val="24"/>
          <w:szCs w:val="24"/>
          <w:highlight w:val="none"/>
        </w:rPr>
      </w:pP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HYPERLINK \l "_Toc129095632"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八、投标货物/服务符合招标文件规定的证明文件</w:t>
      </w:r>
      <w:r>
        <w:rPr>
          <w:rStyle w:val="23"/>
          <w:rFonts w:hint="eastAsia" w:ascii="宋体" w:hAnsi="宋体" w:eastAsia="宋体" w:cs="宋体"/>
          <w:b/>
          <w:color w:val="auto"/>
          <w:sz w:val="24"/>
          <w:szCs w:val="24"/>
          <w:highlight w:val="none"/>
        </w:rPr>
        <w:tab/>
      </w: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PAGEREF _Toc129095632 \h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240</w:t>
      </w:r>
      <w:r>
        <w:rPr>
          <w:rStyle w:val="23"/>
          <w:rFonts w:hint="eastAsia" w:ascii="宋体" w:hAnsi="宋体" w:eastAsia="宋体" w:cs="宋体"/>
          <w:b/>
          <w:color w:val="auto"/>
          <w:sz w:val="24"/>
          <w:szCs w:val="24"/>
          <w:highlight w:val="none"/>
        </w:rPr>
        <w:fldChar w:fldCharType="end"/>
      </w:r>
      <w:r>
        <w:rPr>
          <w:rStyle w:val="23"/>
          <w:rFonts w:hint="eastAsia" w:ascii="宋体" w:hAnsi="宋体" w:eastAsia="宋体" w:cs="宋体"/>
          <w:b/>
          <w:color w:val="auto"/>
          <w:sz w:val="24"/>
          <w:szCs w:val="24"/>
          <w:highlight w:val="none"/>
        </w:rPr>
        <w:fldChar w:fldCharType="end"/>
      </w:r>
    </w:p>
    <w:p w14:paraId="58E33883">
      <w:pPr>
        <w:pStyle w:val="16"/>
        <w:tabs>
          <w:tab w:val="right" w:leader="dot" w:pos="10456"/>
        </w:tabs>
        <w:rPr>
          <w:rStyle w:val="23"/>
          <w:rFonts w:hint="eastAsia" w:ascii="宋体" w:hAnsi="宋体" w:eastAsia="宋体" w:cs="宋体"/>
          <w:b/>
          <w:color w:val="auto"/>
          <w:sz w:val="24"/>
          <w:szCs w:val="24"/>
          <w:highlight w:val="none"/>
        </w:rPr>
      </w:pP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HYPERLINK \l "_Toc129095633"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十、电子开标一览表</w:t>
      </w:r>
      <w:r>
        <w:rPr>
          <w:rStyle w:val="23"/>
          <w:rFonts w:hint="eastAsia" w:ascii="宋体" w:hAnsi="宋体" w:eastAsia="宋体" w:cs="宋体"/>
          <w:b/>
          <w:color w:val="auto"/>
          <w:sz w:val="24"/>
          <w:szCs w:val="24"/>
          <w:highlight w:val="none"/>
        </w:rPr>
        <w:tab/>
      </w: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PAGEREF _Toc129095633 \h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242</w:t>
      </w:r>
      <w:r>
        <w:rPr>
          <w:rStyle w:val="23"/>
          <w:rFonts w:hint="eastAsia" w:ascii="宋体" w:hAnsi="宋体" w:eastAsia="宋体" w:cs="宋体"/>
          <w:b/>
          <w:color w:val="auto"/>
          <w:sz w:val="24"/>
          <w:szCs w:val="24"/>
          <w:highlight w:val="none"/>
        </w:rPr>
        <w:fldChar w:fldCharType="end"/>
      </w:r>
      <w:r>
        <w:rPr>
          <w:rStyle w:val="23"/>
          <w:rFonts w:hint="eastAsia" w:ascii="宋体" w:hAnsi="宋体" w:eastAsia="宋体" w:cs="宋体"/>
          <w:b/>
          <w:color w:val="auto"/>
          <w:sz w:val="24"/>
          <w:szCs w:val="24"/>
          <w:highlight w:val="none"/>
        </w:rPr>
        <w:fldChar w:fldCharType="end"/>
      </w:r>
    </w:p>
    <w:p w14:paraId="62ED2A8B">
      <w:pPr>
        <w:pStyle w:val="16"/>
        <w:tabs>
          <w:tab w:val="right" w:leader="dot" w:pos="10456"/>
        </w:tabs>
        <w:rPr>
          <w:rStyle w:val="23"/>
          <w:rFonts w:hint="eastAsia" w:ascii="宋体" w:hAnsi="宋体" w:eastAsia="宋体" w:cs="宋体"/>
          <w:b/>
          <w:color w:val="auto"/>
          <w:sz w:val="24"/>
          <w:szCs w:val="24"/>
          <w:highlight w:val="none"/>
        </w:rPr>
      </w:pP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HYPERLINK \l "_Toc129095634"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十一、资格证明文件封面</w:t>
      </w:r>
      <w:r>
        <w:rPr>
          <w:rStyle w:val="23"/>
          <w:rFonts w:hint="eastAsia" w:ascii="宋体" w:hAnsi="宋体" w:eastAsia="宋体" w:cs="宋体"/>
          <w:b/>
          <w:color w:val="auto"/>
          <w:sz w:val="24"/>
          <w:szCs w:val="24"/>
          <w:highlight w:val="none"/>
        </w:rPr>
        <w:tab/>
      </w: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PAGEREF _Toc129095634 \h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243</w:t>
      </w:r>
      <w:r>
        <w:rPr>
          <w:rStyle w:val="23"/>
          <w:rFonts w:hint="eastAsia" w:ascii="宋体" w:hAnsi="宋体" w:eastAsia="宋体" w:cs="宋体"/>
          <w:b/>
          <w:color w:val="auto"/>
          <w:sz w:val="24"/>
          <w:szCs w:val="24"/>
          <w:highlight w:val="none"/>
        </w:rPr>
        <w:fldChar w:fldCharType="end"/>
      </w:r>
      <w:r>
        <w:rPr>
          <w:rStyle w:val="23"/>
          <w:rFonts w:hint="eastAsia" w:ascii="宋体" w:hAnsi="宋体" w:eastAsia="宋体" w:cs="宋体"/>
          <w:b/>
          <w:color w:val="auto"/>
          <w:sz w:val="24"/>
          <w:szCs w:val="24"/>
          <w:highlight w:val="none"/>
        </w:rPr>
        <w:fldChar w:fldCharType="end"/>
      </w:r>
    </w:p>
    <w:p w14:paraId="7D17C310">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HYPERLINK \l "_Toc129095635"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十二、法定代表人身份证明</w:t>
      </w:r>
      <w:r>
        <w:rPr>
          <w:rStyle w:val="23"/>
          <w:rFonts w:hint="eastAsia" w:ascii="宋体" w:hAnsi="宋体" w:eastAsia="宋体" w:cs="宋体"/>
          <w:b/>
          <w:color w:val="auto"/>
          <w:sz w:val="24"/>
          <w:szCs w:val="24"/>
          <w:highlight w:val="none"/>
        </w:rPr>
        <w:tab/>
      </w:r>
      <w:r>
        <w:rPr>
          <w:rStyle w:val="23"/>
          <w:rFonts w:hint="eastAsia" w:ascii="宋体" w:hAnsi="宋体" w:eastAsia="宋体" w:cs="宋体"/>
          <w:b/>
          <w:color w:val="auto"/>
          <w:sz w:val="24"/>
          <w:szCs w:val="24"/>
          <w:highlight w:val="none"/>
        </w:rPr>
        <w:fldChar w:fldCharType="begin"/>
      </w:r>
      <w:r>
        <w:rPr>
          <w:rStyle w:val="23"/>
          <w:rFonts w:hint="eastAsia" w:ascii="宋体" w:hAnsi="宋体" w:eastAsia="宋体" w:cs="宋体"/>
          <w:b/>
          <w:color w:val="auto"/>
          <w:sz w:val="24"/>
          <w:szCs w:val="24"/>
          <w:highlight w:val="none"/>
        </w:rPr>
        <w:instrText xml:space="preserve"> PAGEREF _Toc129095635 \h </w:instrText>
      </w:r>
      <w:r>
        <w:rPr>
          <w:rStyle w:val="23"/>
          <w:rFonts w:hint="eastAsia" w:ascii="宋体" w:hAnsi="宋体" w:eastAsia="宋体" w:cs="宋体"/>
          <w:b/>
          <w:color w:val="auto"/>
          <w:sz w:val="24"/>
          <w:szCs w:val="24"/>
          <w:highlight w:val="none"/>
        </w:rPr>
        <w:fldChar w:fldCharType="separate"/>
      </w:r>
      <w:r>
        <w:rPr>
          <w:rStyle w:val="23"/>
          <w:rFonts w:hint="eastAsia" w:ascii="宋体" w:hAnsi="宋体" w:eastAsia="宋体" w:cs="宋体"/>
          <w:b/>
          <w:color w:val="auto"/>
          <w:sz w:val="24"/>
          <w:szCs w:val="24"/>
          <w:highlight w:val="none"/>
        </w:rPr>
        <w:t>244</w:t>
      </w:r>
      <w:r>
        <w:rPr>
          <w:rStyle w:val="23"/>
          <w:rFonts w:hint="eastAsia" w:ascii="宋体" w:hAnsi="宋体" w:eastAsia="宋体" w:cs="宋体"/>
          <w:b/>
          <w:color w:val="auto"/>
          <w:sz w:val="24"/>
          <w:szCs w:val="24"/>
          <w:highlight w:val="none"/>
        </w:rPr>
        <w:fldChar w:fldCharType="end"/>
      </w:r>
      <w:r>
        <w:rPr>
          <w:rStyle w:val="23"/>
          <w:rFonts w:hint="eastAsia" w:ascii="宋体" w:hAnsi="宋体" w:eastAsia="宋体" w:cs="宋体"/>
          <w:b/>
          <w:color w:val="auto"/>
          <w:sz w:val="24"/>
          <w:szCs w:val="24"/>
          <w:highlight w:val="none"/>
        </w:rPr>
        <w:fldChar w:fldCharType="end"/>
      </w:r>
    </w:p>
    <w:p w14:paraId="5454717D">
      <w:pPr>
        <w:pStyle w:val="16"/>
        <w:tabs>
          <w:tab w:val="right" w:leader="dot" w:pos="10456"/>
        </w:tabs>
        <w:rPr>
          <w:rFonts w:hint="eastAsia" w:ascii="宋体" w:hAnsi="宋体" w:eastAsia="宋体" w:cs="宋体"/>
          <w:color w:val="auto"/>
          <w:sz w:val="24"/>
          <w:szCs w:val="24"/>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"_Toc129095636"</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十三、法定代表人授权委托书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_Toc129095636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245</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5D08A167">
      <w:pPr>
        <w:pStyle w:val="16"/>
        <w:tabs>
          <w:tab w:val="right" w:leader="dot" w:pos="10456"/>
        </w:tabs>
        <w:rPr>
          <w:rFonts w:hint="eastAsia" w:ascii="宋体" w:hAnsi="宋体" w:eastAsia="宋体" w:cs="宋体"/>
          <w:color w:val="auto"/>
          <w:highlight w:val="none"/>
        </w:rPr>
      </w:pPr>
      <w:r>
        <w:rPr>
          <w:rStyle w:val="23"/>
          <w:rFonts w:hint="eastAsia" w:ascii="宋体" w:hAnsi="宋体" w:eastAsia="宋体" w:cs="宋体"/>
          <w:color w:val="auto"/>
          <w:sz w:val="24"/>
          <w:szCs w:val="24"/>
          <w:highlight w:val="none"/>
        </w:rPr>
        <w:fldChar w:fldCharType="begin"/>
      </w:r>
      <w:r>
        <w:rPr>
          <w:rStyle w:val="23"/>
          <w:rFonts w:hint="eastAsia" w:ascii="宋体" w:hAnsi="宋体" w:eastAsia="宋体" w:cs="宋体"/>
          <w:color w:val="auto"/>
          <w:sz w:val="24"/>
          <w:szCs w:val="24"/>
          <w:highlight w:val="none"/>
        </w:rPr>
        <w:instrText xml:space="preserve"> </w:instrText>
      </w:r>
      <w:r>
        <w:rPr>
          <w:rFonts w:hint="eastAsia" w:ascii="宋体" w:hAnsi="宋体" w:eastAsia="宋体" w:cs="宋体"/>
          <w:color w:val="auto"/>
          <w:sz w:val="24"/>
          <w:szCs w:val="24"/>
          <w:highlight w:val="none"/>
        </w:rPr>
        <w:instrText xml:space="preserve">HYPERLINK \l "_Toc129095637"</w:instrText>
      </w:r>
      <w:r>
        <w:rPr>
          <w:rStyle w:val="23"/>
          <w:rFonts w:hint="eastAsia" w:ascii="宋体" w:hAnsi="宋体" w:eastAsia="宋体" w:cs="宋体"/>
          <w:color w:val="auto"/>
          <w:sz w:val="24"/>
          <w:szCs w:val="24"/>
          <w:highlight w:val="none"/>
        </w:rPr>
        <w:instrText xml:space="preserve"> </w:instrText>
      </w:r>
      <w:r>
        <w:rPr>
          <w:rStyle w:val="23"/>
          <w:rFonts w:hint="eastAsia" w:ascii="宋体" w:hAnsi="宋体" w:eastAsia="宋体" w:cs="宋体"/>
          <w:color w:val="auto"/>
          <w:sz w:val="24"/>
          <w:szCs w:val="24"/>
          <w:highlight w:val="none"/>
        </w:rPr>
        <w:fldChar w:fldCharType="separate"/>
      </w:r>
      <w:r>
        <w:rPr>
          <w:rStyle w:val="23"/>
          <w:rFonts w:hint="eastAsia" w:ascii="宋体" w:hAnsi="宋体" w:eastAsia="宋体" w:cs="宋体"/>
          <w:b/>
          <w:color w:val="auto"/>
          <w:sz w:val="24"/>
          <w:szCs w:val="24"/>
          <w:highlight w:val="none"/>
        </w:rPr>
        <w:t>十四、投标人具备投标资格的证明文件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_Toc129095637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246</w:t>
      </w:r>
      <w:r>
        <w:rPr>
          <w:rFonts w:hint="eastAsia" w:ascii="宋体" w:hAnsi="宋体" w:eastAsia="宋体" w:cs="宋体"/>
          <w:color w:val="auto"/>
          <w:sz w:val="24"/>
          <w:szCs w:val="24"/>
          <w:highlight w:val="none"/>
        </w:rPr>
        <w:fldChar w:fldCharType="end"/>
      </w:r>
      <w:r>
        <w:rPr>
          <w:rStyle w:val="23"/>
          <w:rFonts w:hint="eastAsia" w:ascii="宋体" w:hAnsi="宋体" w:eastAsia="宋体" w:cs="宋体"/>
          <w:color w:val="auto"/>
          <w:sz w:val="24"/>
          <w:szCs w:val="24"/>
          <w:highlight w:val="none"/>
        </w:rPr>
        <w:fldChar w:fldCharType="end"/>
      </w:r>
    </w:p>
    <w:p w14:paraId="2FD33606">
      <w:pPr>
        <w:rPr>
          <w:rFonts w:hint="eastAsia" w:ascii="宋体" w:hAnsi="宋体" w:eastAsia="宋体" w:cs="宋体"/>
          <w:color w:val="auto"/>
          <w:highlight w:val="none"/>
        </w:rPr>
      </w:pPr>
      <w:r>
        <w:rPr>
          <w:rFonts w:hint="eastAsia" w:ascii="宋体" w:hAnsi="宋体" w:eastAsia="宋体" w:cs="宋体"/>
          <w:b/>
          <w:bCs/>
          <w:color w:val="auto"/>
          <w:highlight w:val="none"/>
          <w:lang w:val="zh-CN"/>
        </w:rPr>
        <w:fldChar w:fldCharType="end"/>
      </w:r>
    </w:p>
    <w:p w14:paraId="3DC24EA9">
      <w:pPr>
        <w:pStyle w:val="12"/>
        <w:adjustRightInd w:val="0"/>
        <w:snapToGrid w:val="0"/>
        <w:spacing w:line="360" w:lineRule="auto"/>
        <w:jc w:val="center"/>
        <w:rPr>
          <w:rFonts w:hint="eastAsia" w:hAnsi="宋体" w:eastAsia="宋体" w:cs="宋体"/>
          <w:color w:val="auto"/>
          <w:highlight w:val="none"/>
        </w:rPr>
      </w:pPr>
    </w:p>
    <w:p w14:paraId="6C14726D">
      <w:pPr>
        <w:rPr>
          <w:rFonts w:hint="eastAsia" w:ascii="宋体" w:hAnsi="宋体" w:eastAsia="宋体" w:cs="宋体"/>
          <w:color w:val="auto"/>
          <w:highlight w:val="none"/>
        </w:rPr>
      </w:pPr>
    </w:p>
    <w:p w14:paraId="28F09E23">
      <w:pPr>
        <w:pStyle w:val="12"/>
        <w:adjustRightInd w:val="0"/>
        <w:snapToGrid w:val="0"/>
        <w:spacing w:before="156" w:beforeLines="50" w:line="360" w:lineRule="auto"/>
        <w:ind w:left="1215"/>
        <w:jc w:val="center"/>
        <w:outlineLvl w:val="0"/>
        <w:rPr>
          <w:rFonts w:hint="eastAsia" w:hAnsi="宋体" w:eastAsia="宋体" w:cs="宋体"/>
          <w:color w:val="auto"/>
          <w:highlight w:val="none"/>
        </w:rPr>
      </w:pPr>
      <w:r>
        <w:rPr>
          <w:rFonts w:hint="eastAsia" w:hAnsi="宋体" w:eastAsia="宋体" w:cs="宋体"/>
          <w:color w:val="auto"/>
          <w:highlight w:val="none"/>
        </w:rPr>
        <w:br w:type="page"/>
      </w:r>
      <w:bookmarkStart w:id="13" w:name="_Toc966138"/>
      <w:bookmarkStart w:id="14" w:name="_Toc129095605"/>
      <w:bookmarkStart w:id="15" w:name="_Toc6242754"/>
      <w:bookmarkStart w:id="16" w:name="_Toc129095500"/>
      <w:r>
        <w:rPr>
          <w:rFonts w:hint="eastAsia" w:hAnsi="宋体" w:eastAsia="宋体" w:cs="宋体"/>
          <w:b/>
          <w:color w:val="auto"/>
          <w:sz w:val="32"/>
          <w:szCs w:val="32"/>
          <w:highlight w:val="none"/>
        </w:rPr>
        <w:t>第一章 投标邀请</w:t>
      </w:r>
      <w:bookmarkEnd w:id="13"/>
      <w:bookmarkEnd w:id="14"/>
      <w:bookmarkEnd w:id="15"/>
      <w:bookmarkEnd w:id="16"/>
    </w:p>
    <w:p w14:paraId="51A68D03">
      <w:pPr>
        <w:rPr>
          <w:rFonts w:hint="eastAsia" w:ascii="宋体" w:hAnsi="宋体" w:eastAsia="宋体" w:cs="宋体"/>
          <w:color w:val="auto"/>
          <w:highlight w:val="none"/>
        </w:rPr>
      </w:pPr>
      <w:bookmarkStart w:id="17" w:name="EB591d2d602ada4709b0cbd98f9052456a"/>
      <w:r>
        <w:rPr>
          <w:rFonts w:hint="eastAsia" w:ascii="宋体" w:hAnsi="宋体" w:eastAsia="宋体" w:cs="宋体"/>
          <w:color w:val="auto"/>
          <w:sz w:val="20"/>
          <w:highlight w:val="none"/>
        </w:rPr>
        <w:t xml:space="preserve"> </w:t>
      </w:r>
      <w:bookmarkEnd w:id="17"/>
      <w:bookmarkStart w:id="18" w:name="EBc9191a5ece724ac0901e84f28054959d"/>
      <w:r>
        <w:rPr>
          <w:rFonts w:hint="eastAsia" w:ascii="宋体" w:hAnsi="宋体" w:eastAsia="宋体" w:cs="宋体"/>
          <w:color w:val="auto"/>
          <w:sz w:val="20"/>
          <w:highlight w:val="none"/>
        </w:rPr>
        <w:t xml:space="preserve"> </w:t>
      </w:r>
      <w:bookmarkEnd w:id="18"/>
    </w:p>
    <w:p w14:paraId="63F341D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湖南普瑞玛药物研究中心有限公司对创新药物及医疗器械研发中心设备采购及安装项目进行公开招标采购，现将采购事项公告如下：</w:t>
      </w:r>
    </w:p>
    <w:p w14:paraId="492F1E55">
      <w:p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一、采购名称、编号及预算金额</w:t>
      </w:r>
    </w:p>
    <w:p w14:paraId="1F4AABA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采购名称：创新药物及医疗器械研发中心设备采购及安装项目</w:t>
      </w:r>
    </w:p>
    <w:p w14:paraId="451AF31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招标编号：HNYY-LYGC-2026-009</w:t>
      </w:r>
    </w:p>
    <w:p w14:paraId="47A013FF">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采购预算：</w:t>
      </w:r>
      <w:r>
        <w:rPr>
          <w:rFonts w:hint="eastAsia" w:ascii="宋体" w:hAnsi="宋体" w:eastAsia="宋体" w:cs="宋体"/>
          <w:color w:val="auto"/>
          <w:kern w:val="0"/>
          <w:sz w:val="24"/>
          <w:szCs w:val="24"/>
          <w:highlight w:val="none"/>
        </w:rPr>
        <w:t>49995437.79元</w:t>
      </w:r>
    </w:p>
    <w:p w14:paraId="6F2144E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采购最高限价（设定最高限价的）：</w:t>
      </w:r>
      <w:r>
        <w:rPr>
          <w:rFonts w:hint="eastAsia" w:ascii="宋体" w:hAnsi="宋体" w:eastAsia="宋体" w:cs="宋体"/>
          <w:color w:val="auto"/>
          <w:kern w:val="0"/>
          <w:sz w:val="24"/>
          <w:szCs w:val="24"/>
          <w:highlight w:val="none"/>
        </w:rPr>
        <w:t>49995437.79元</w:t>
      </w:r>
    </w:p>
    <w:p w14:paraId="47467910">
      <w:pPr>
        <w:numPr>
          <w:ilvl w:val="0"/>
          <w:numId w:val="1"/>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采购人的采购需求：</w:t>
      </w:r>
    </w:p>
    <w:p w14:paraId="5C7126D1">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oftHyphen/>
      </w:r>
      <w:r>
        <w:rPr>
          <w:rFonts w:hint="eastAsia" w:ascii="宋体" w:hAnsi="宋体" w:eastAsia="宋体" w:cs="宋体"/>
          <w:color w:val="auto"/>
          <w:sz w:val="24"/>
          <w:szCs w:val="24"/>
          <w:highlight w:val="none"/>
        </w:rPr>
        <w:softHyphen/>
      </w:r>
      <w:r>
        <w:rPr>
          <w:rFonts w:hint="eastAsia" w:ascii="宋体" w:hAnsi="宋体" w:eastAsia="宋体" w:cs="宋体"/>
          <w:color w:val="auto"/>
          <w:sz w:val="24"/>
          <w:szCs w:val="24"/>
          <w:highlight w:val="none"/>
        </w:rPr>
        <w:softHyphen/>
      </w:r>
      <w:r>
        <w:rPr>
          <w:rFonts w:hint="eastAsia" w:ascii="宋体" w:hAnsi="宋体" w:eastAsia="宋体" w:cs="宋体"/>
          <w:color w:val="auto"/>
          <w:sz w:val="24"/>
          <w:szCs w:val="24"/>
          <w:highlight w:val="none"/>
        </w:rPr>
        <w:softHyphen/>
      </w:r>
      <w:bookmarkStart w:id="19" w:name="EBc21bce3c38f749aa993c337eba260c5f"/>
      <w:r>
        <w:rPr>
          <w:rFonts w:hint="eastAsia" w:ascii="宋体" w:hAnsi="宋体" w:eastAsia="宋体" w:cs="宋体"/>
          <w:color w:val="auto"/>
          <w:sz w:val="24"/>
          <w:szCs w:val="24"/>
          <w:highlight w:val="none"/>
        </w:rPr>
        <w:t>详见技术规格、参数与要求</w:t>
      </w:r>
      <w:bookmarkEnd w:id="19"/>
      <w:r>
        <w:rPr>
          <w:rFonts w:hint="eastAsia" w:ascii="宋体" w:hAnsi="宋体" w:eastAsia="宋体" w:cs="宋体"/>
          <w:color w:val="auto"/>
          <w:sz w:val="24"/>
          <w:szCs w:val="24"/>
          <w:highlight w:val="none"/>
        </w:rPr>
        <w:t>。</w:t>
      </w:r>
    </w:p>
    <w:p w14:paraId="53180888">
      <w:pPr>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三、投标人的资格要求</w:t>
      </w:r>
      <w:r>
        <w:rPr>
          <w:rFonts w:hint="eastAsia" w:ascii="宋体" w:hAnsi="宋体" w:eastAsia="宋体" w:cs="宋体"/>
          <w:color w:val="auto"/>
          <w:sz w:val="24"/>
          <w:szCs w:val="24"/>
          <w:highlight w:val="none"/>
        </w:rPr>
        <w:t>：</w:t>
      </w:r>
    </w:p>
    <w:p w14:paraId="2D51BE34">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基本资格条件：</w:t>
      </w:r>
    </w:p>
    <w:p w14:paraId="6CB97762">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（1）法人或者其他组织的营业执照等证明文件。</w:t>
      </w:r>
    </w:p>
    <w:p w14:paraId="2CBE4C02">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（2）依法缴纳税收和社会保险费的证明材料，各上传下列材料之一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1BFAC57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缴纳税收证明资料（提供下列之一证明材料）：《税务登记证》（实行营业执照、组织机构代码证、税务登记证“三证合一”或者营业执照、组织机构代码证、税务登记证、社会保险登记证和统计登记证“五证合一”登记模式的，可不再提供）；提交投标文件截止时间前 3 个月内任意一个月依法缴纳税收的证明（纳税凭证）；委托他人缴纳的委托代办协议和提交投标文件截止时间前 3 个月内任意一个月的缴纳证明（收据）；法定征收机关出具的依法免缴税收的证明。</w:t>
      </w:r>
    </w:p>
    <w:p w14:paraId="772FFEBB">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缴纳社会保险证明资料（提供下列之一证明材料）：《社会保险登记证》（实行营业执照、组织机构代码证、税务登记证、社会保险登记证和统计登记证“五证合一”登记制度的，可不再提供）；提交投标文件截止时间前 3 个月内任意一个月依法缴纳社会保险的证明（缴费凭证）；委托他人缴纳的委托代办协议和提交投标文件截止时间前 3 个月内任意一个月的缴纳证明（收据）；法定征收机关出具的依法免缴保险费的证明。</w:t>
      </w:r>
    </w:p>
    <w:p w14:paraId="57BA23DE">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（3）法人提交法定代表人身份证明或者法定代表人授权委托书以及被授权代表人在投标单位或投标单位依法登记的分支机构近三个月内任意一个月的社保证明并附法定代表人身份证明。</w:t>
      </w:r>
    </w:p>
    <w:p w14:paraId="54D3ADCD">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（4）提供上年度经会计师事务所审计的财务报告（至少包含审计报告、资产负债表、利润表和现金流量表），或由银行出具的资信证明。</w:t>
      </w:r>
    </w:p>
    <w:p w14:paraId="5671E519">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（5）具有履行本项目采购合同所必需的设备和专业技术能力证明材料。</w:t>
      </w:r>
    </w:p>
    <w:p w14:paraId="7D335A48">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（6）说明：</w:t>
      </w:r>
    </w:p>
    <w:p w14:paraId="75DC6A22">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投标人如是“三证合一或五证合一”请自行说明。</w:t>
      </w:r>
    </w:p>
    <w:p w14:paraId="1A83E8F2">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②基本资格条件中所提到的“近三个月”指“2026年7月至2026年9月”。</w:t>
      </w:r>
    </w:p>
    <w:p w14:paraId="098F2D8D">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③基本资格条件中所提到的“上年度”是指2025年度。</w:t>
      </w:r>
    </w:p>
    <w:p w14:paraId="02341868">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被“信用中国”网站列入失信被执行人和重大税收违法案件当事人名单的、被“中国政府采购网”网站列入政府采购严重违法失信行为记录名单（处罚期限尚未届满的），不得参与本项目的采购活动。</w:t>
      </w:r>
    </w:p>
    <w:p w14:paraId="709921AC">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 xml:space="preserve">投标人特定资格条件：具有有效期内的机电工程施工总承包壹级资质或建筑机电安装工程专业承包壹级资质。 </w:t>
      </w:r>
    </w:p>
    <w:p w14:paraId="601FB12D">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联合体投标。本次招标不接受联合体投标。</w:t>
      </w:r>
    </w:p>
    <w:p w14:paraId="30EC95DA">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单位负责人为同一人或者存在直接控股、管理关系的不同投标人，不得参加同一合同项下的采购活动。</w:t>
      </w:r>
    </w:p>
    <w:p w14:paraId="523D600D">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6.</w:t>
      </w:r>
      <w:r>
        <w:rPr>
          <w:rFonts w:hint="eastAsia" w:ascii="宋体" w:hAnsi="宋体" w:eastAsia="宋体" w:cs="宋体"/>
          <w:color w:val="auto"/>
          <w:sz w:val="24"/>
          <w:szCs w:val="24"/>
          <w:highlight w:val="none"/>
        </w:rPr>
        <w:t>为本采购项目提供整体设计、规范编制或者项目管理、监理、检测等服务的，不得再参加此项目的其他招标采购活动。</w:t>
      </w:r>
    </w:p>
    <w:p w14:paraId="5C0ADCE5">
      <w:p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四、招标文件的获取</w:t>
      </w:r>
    </w:p>
    <w:p w14:paraId="532AFA88">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凡符合投标资格要求并有意参加投标者，可在公告发布之日起至提交投标文件截止之日通过登录《湖南省公共资源交易服务平台》（https://changsha.hnsggzy.com）免费下载招标文件。</w:t>
      </w:r>
    </w:p>
    <w:p w14:paraId="4E0228C7">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电子招标文件获取方式：投标截止时间前，供应商登录“湖南省公共资源交易服务平台”中进入“长沙政府采购电子交易系统 （http://zfcg.csggzy.cn/TPBidder/memberLogin）”进行格式化电子招标文件的下载。</w:t>
      </w:r>
    </w:p>
    <w:p w14:paraId="54CBFB5E">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各供应商自行在以上网站下载或查阅招标相关文件和资料等，恕不另行通知，如有遗漏采购人、采购代理机构概不负责。</w:t>
      </w:r>
    </w:p>
    <w:p w14:paraId="6D3FAF90">
      <w:p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五、投标截止时间、开标时间及地点</w:t>
      </w:r>
    </w:p>
    <w:p w14:paraId="36BE4C4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提交投标文件的截止时间：</w:t>
      </w:r>
      <w:bookmarkStart w:id="20" w:name="EBa8b27296a8fe46b1b321cef07d943677"/>
      <w:r>
        <w:rPr>
          <w:rFonts w:hint="eastAsia" w:ascii="宋体" w:hAnsi="宋体" w:eastAsia="宋体" w:cs="宋体"/>
          <w:color w:val="auto"/>
          <w:sz w:val="24"/>
          <w:szCs w:val="24"/>
          <w:highlight w:val="none"/>
        </w:rPr>
        <w:t>2026-</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23</w:t>
      </w:r>
      <w:r>
        <w:rPr>
          <w:rFonts w:hint="eastAsia" w:ascii="宋体" w:hAnsi="宋体" w:eastAsia="宋体" w:cs="宋体"/>
          <w:color w:val="auto"/>
          <w:sz w:val="24"/>
          <w:szCs w:val="24"/>
          <w:highlight w:val="none"/>
        </w:rPr>
        <w:t xml:space="preserve">  09:00</w:t>
      </w:r>
      <w:bookmarkEnd w:id="20"/>
      <w:r>
        <w:rPr>
          <w:rFonts w:hint="eastAsia" w:ascii="宋体" w:hAnsi="宋体" w:eastAsia="宋体" w:cs="宋体"/>
          <w:color w:val="auto"/>
          <w:sz w:val="24"/>
          <w:szCs w:val="24"/>
          <w:highlight w:val="none"/>
        </w:rPr>
        <w:t>（北京时间），超过截止时间的投标将被拒绝（☆）。</w:t>
      </w:r>
    </w:p>
    <w:p w14:paraId="641BDABB">
      <w:pPr>
        <w:adjustRightInd w:val="0"/>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开标时间及地点：2026-</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 xml:space="preserve">23  </w:t>
      </w:r>
      <w:r>
        <w:rPr>
          <w:rFonts w:hint="eastAsia" w:ascii="宋体" w:hAnsi="宋体" w:eastAsia="宋体" w:cs="宋体"/>
          <w:color w:val="auto"/>
          <w:sz w:val="24"/>
          <w:szCs w:val="24"/>
          <w:highlight w:val="none"/>
        </w:rPr>
        <w:t xml:space="preserve"> 09:00（北京时间）。长沙公共资源交易中心【长沙岳麓区岳华路279号（岳华路与府中路交汇处）】</w:t>
      </w:r>
    </w:p>
    <w:p w14:paraId="2372BD5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电子标项目实行网上投标，具体操作为供应商在“湖南省公共资源交易服务平台”，登录“长沙政府采购电子交易系统（http://zfcg.csggzy.cn/TPBidder/memberLogin）”上传投标文件。本项目电子投标文件最大容量为200MB，超过此容量的文件将被拒绝。</w:t>
      </w:r>
    </w:p>
    <w:p w14:paraId="51911E5A">
      <w:pPr>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六、招标文件公告期限</w:t>
      </w:r>
      <w:r>
        <w:rPr>
          <w:rFonts w:hint="eastAsia" w:ascii="宋体" w:hAnsi="宋体" w:eastAsia="宋体" w:cs="宋体"/>
          <w:color w:val="auto"/>
          <w:sz w:val="24"/>
          <w:szCs w:val="24"/>
          <w:highlight w:val="none"/>
        </w:rPr>
        <w:t>：</w:t>
      </w:r>
    </w:p>
    <w:p w14:paraId="2D040F0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招标文件公告期限：</w:t>
      </w:r>
      <w:bookmarkStart w:id="21" w:name="EB11866015e2c74b21a660722e465b40c4"/>
      <w:r>
        <w:rPr>
          <w:rFonts w:hint="eastAsia" w:ascii="宋体" w:hAnsi="宋体" w:eastAsia="宋体" w:cs="宋体"/>
          <w:color w:val="auto"/>
          <w:sz w:val="24"/>
          <w:szCs w:val="24"/>
          <w:highlight w:val="none"/>
        </w:rPr>
        <w:t>2026-</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02</w:t>
      </w:r>
      <w:r>
        <w:rPr>
          <w:rFonts w:hint="eastAsia" w:ascii="宋体" w:hAnsi="宋体" w:eastAsia="宋体" w:cs="宋体"/>
          <w:color w:val="auto"/>
          <w:sz w:val="24"/>
          <w:szCs w:val="24"/>
          <w:highlight w:val="none"/>
        </w:rPr>
        <w:t xml:space="preserve">  17:00</w:t>
      </w:r>
      <w:bookmarkEnd w:id="21"/>
      <w:r>
        <w:rPr>
          <w:rFonts w:hint="eastAsia" w:ascii="宋体" w:hAnsi="宋体" w:eastAsia="宋体" w:cs="宋体"/>
          <w:color w:val="auto"/>
          <w:sz w:val="24"/>
          <w:szCs w:val="24"/>
          <w:highlight w:val="none"/>
        </w:rPr>
        <w:t>至</w:t>
      </w:r>
      <w:bookmarkStart w:id="22" w:name="EB255ddae7d6264c3780c0123b1c26689e"/>
      <w:r>
        <w:rPr>
          <w:rFonts w:hint="eastAsia" w:ascii="宋体" w:hAnsi="宋体" w:eastAsia="宋体" w:cs="宋体"/>
          <w:color w:val="auto"/>
          <w:sz w:val="24"/>
          <w:szCs w:val="24"/>
          <w:highlight w:val="none"/>
        </w:rPr>
        <w:t>2026-</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rPr>
        <w:t xml:space="preserve">  17:00</w:t>
      </w:r>
      <w:bookmarkEnd w:id="22"/>
      <w:r>
        <w:rPr>
          <w:rFonts w:hint="eastAsia" w:ascii="宋体" w:hAnsi="宋体" w:eastAsia="宋体" w:cs="宋体"/>
          <w:color w:val="auto"/>
          <w:sz w:val="24"/>
          <w:szCs w:val="24"/>
          <w:highlight w:val="none"/>
        </w:rPr>
        <w:t>止（5个工作日）。</w:t>
      </w:r>
    </w:p>
    <w:p w14:paraId="5BDE433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认为采购文件使自己的权益受到损害的，可以自获取采购文件之日或者采购文件公告期限届满之日（公告期限届满后获取采购文件的，以公告期限届满之日为准）起7个工作日内，以书面形式（能够有形地表现所载内容，并可以随时调取查用的数据电文，视为符合</w:t>
      </w: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要求的书面形式。）向采购人提出质疑。</w:t>
      </w:r>
    </w:p>
    <w:p w14:paraId="37FD3E3B">
      <w:pPr>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七、疑问</w:t>
      </w:r>
      <w:r>
        <w:rPr>
          <w:rFonts w:hint="eastAsia" w:ascii="宋体" w:hAnsi="宋体" w:eastAsia="宋体" w:cs="宋体"/>
          <w:color w:val="auto"/>
          <w:sz w:val="24"/>
          <w:szCs w:val="24"/>
          <w:highlight w:val="none"/>
        </w:rPr>
        <w:t>：</w:t>
      </w:r>
    </w:p>
    <w:p w14:paraId="5335B2C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供应商对采购活动事项如有疑问的，可以向采购人或采购代理机构提出询问。采购人或采购代理机构将在3个工作日内作出答复。</w:t>
      </w:r>
    </w:p>
    <w:p w14:paraId="1E48A914">
      <w:pPr>
        <w:adjustRightInd w:val="0"/>
        <w:snapToGrid w:val="0"/>
        <w:spacing w:line="360" w:lineRule="auto"/>
        <w:ind w:firstLine="472" w:firstLineChars="196"/>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八、</w:t>
      </w:r>
      <w:r>
        <w:rPr>
          <w:rFonts w:hint="eastAsia" w:ascii="宋体" w:hAnsi="宋体" w:eastAsia="宋体" w:cs="宋体"/>
          <w:b/>
          <w:bCs/>
          <w:color w:val="auto"/>
          <w:sz w:val="24"/>
          <w:szCs w:val="24"/>
          <w:highlight w:val="none"/>
        </w:rPr>
        <w:t>采购人及其委托的采购代理机构的名称、地址和联系方法</w:t>
      </w:r>
    </w:p>
    <w:p w14:paraId="69812320">
      <w:pPr>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采购人：湖南普瑞玛药物研究中心有限公司</w:t>
      </w:r>
    </w:p>
    <w:p w14:paraId="56DC2B6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 浏阳经济技术开发区康天路123号</w:t>
      </w:r>
    </w:p>
    <w:p w14:paraId="6CA03B2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联系人：黄羽南</w:t>
      </w:r>
    </w:p>
    <w:p w14:paraId="66D6C85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电话：13637486313</w:t>
      </w:r>
    </w:p>
    <w:p w14:paraId="7FFEFE52">
      <w:pPr>
        <w:adjustRightInd w:val="0"/>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采购代理机构名称：湖南扬屹咨询管理有限公司  </w:t>
      </w:r>
    </w:p>
    <w:p w14:paraId="2C742A1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地址：浏阳市金沙北路彩虹城5单元25楼    </w:t>
      </w:r>
    </w:p>
    <w:p w14:paraId="03CD482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联系人：卢琳</w:t>
      </w:r>
    </w:p>
    <w:p w14:paraId="3AD0D66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话：18374892479</w:t>
      </w:r>
    </w:p>
    <w:p w14:paraId="11A8C79F">
      <w:pPr>
        <w:adjustRightInd w:val="0"/>
        <w:snapToGrid w:val="0"/>
        <w:spacing w:line="360" w:lineRule="auto"/>
        <w:ind w:firstLine="472" w:firstLineChars="196"/>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九、行政监管部门：本次招标活动接受湖南普瑞玛药物研究中心有限公司内部的监督，联系人：曾贵荣，联系电话：13787202837。  </w:t>
      </w:r>
    </w:p>
    <w:p w14:paraId="3B391F6E">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十、</w:t>
      </w:r>
      <w:r>
        <w:rPr>
          <w:rFonts w:hint="eastAsia" w:ascii="宋体" w:hAnsi="宋体" w:eastAsia="宋体" w:cs="宋体"/>
          <w:b/>
          <w:color w:val="auto"/>
          <w:sz w:val="24"/>
          <w:szCs w:val="24"/>
          <w:highlight w:val="none"/>
        </w:rPr>
        <w:t>招标代理服务费</w:t>
      </w:r>
    </w:p>
    <w:p w14:paraId="6A43A93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本项目招标代理服务费：</w:t>
      </w:r>
      <w:r>
        <w:rPr>
          <w:rFonts w:hint="eastAsia" w:ascii="宋体" w:hAnsi="宋体" w:eastAsia="宋体" w:cs="宋体"/>
          <w:color w:val="auto"/>
          <w:sz w:val="24"/>
          <w:szCs w:val="24"/>
          <w:highlight w:val="none"/>
          <w:lang w:val="en-US" w:eastAsia="zh-CN"/>
        </w:rPr>
        <w:t>80000.00</w:t>
      </w:r>
      <w:r>
        <w:rPr>
          <w:rFonts w:hint="eastAsia" w:ascii="宋体" w:hAnsi="宋体" w:eastAsia="宋体" w:cs="宋体"/>
          <w:color w:val="auto"/>
          <w:sz w:val="24"/>
          <w:szCs w:val="24"/>
          <w:highlight w:val="none"/>
        </w:rPr>
        <w:t>元，由中标人向代理机构支付。</w:t>
      </w:r>
    </w:p>
    <w:p w14:paraId="7667BF4F">
      <w:pPr>
        <w:adjustRightInd w:val="0"/>
        <w:snapToGrid w:val="0"/>
        <w:spacing w:before="156" w:beforeLines="50"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采购人委托代理机构代理事项内容：</w:t>
      </w:r>
    </w:p>
    <w:p w14:paraId="445412A2">
      <w:pPr>
        <w:numPr>
          <w:ilvl w:val="0"/>
          <w:numId w:val="2"/>
        </w:numPr>
        <w:adjustRightInd w:val="0"/>
        <w:snapToGrid w:val="0"/>
        <w:spacing w:before="156" w:beforeLines="50"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起草、编制采购文件；（2）组织专家对采购文件进行论证；（3）组织采购答疑会；（4）制作、发布采购信息公告；（5）组织开展供应商资格审查；（6）依法组建评审委员会；（7）组织评审活动，记录、整理评审委员会的评审意见，协助评审委员会编写评审报告；提交评审报告给甲方确认；（8）制作、发布中标（成交）信息公告；（9）发送供应商中标（成交）通知书；（10）答复供应商的询问，配合采购人答复答疑，组织答疑复核，配合采购人的投诉处理；（11）整理移交采购活动的采购文件档案。</w:t>
      </w:r>
    </w:p>
    <w:p w14:paraId="7D031DAC">
      <w:pPr>
        <w:adjustRightInd w:val="0"/>
        <w:snapToGrid w:val="0"/>
        <w:spacing w:before="156" w:beforeLines="50"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十一、招标人补充其他内容</w:t>
      </w:r>
    </w:p>
    <w:p w14:paraId="6CEA87AA">
      <w:pPr>
        <w:wordWrap w:val="0"/>
        <w:adjustRightInd w:val="0"/>
        <w:snapToGrid w:val="0"/>
        <w:spacing w:before="156" w:beforeLines="50"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本招标项目采用电子化招标采购，请供应商在湖南省公共资源交易服务平台（https://changsha.hnsggzy.com）中登录长沙政府采购电子交易系统（http://zfcg.csggzy.cn/TPBidder/memberLogin）下载CSZF或.CSCF格式的电子招标文件。</w:t>
      </w:r>
    </w:p>
    <w:p w14:paraId="1D612D7F">
      <w:pPr>
        <w:wordWrap w:val="0"/>
        <w:adjustRightInd w:val="0"/>
        <w:snapToGrid w:val="0"/>
        <w:spacing w:before="156" w:beforeLines="50"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请供应商在湖南省公共资源交易服务平台下载专区中及时下载安装最新版本“政府采购电子投标文件制作工具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政府采购CA驱动”。参与投标的供应商需使用电子标书编制软件制作.CSTF格式投标文件。</w:t>
      </w:r>
    </w:p>
    <w:p w14:paraId="7B19E6FE">
      <w:pPr>
        <w:wordWrap w:val="0"/>
        <w:adjustRightInd w:val="0"/>
        <w:snapToGrid w:val="0"/>
        <w:spacing w:before="156" w:beforeLines="50"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因电子招投标需要，投标人应及时办理企业数字证书（含电子签章），具体办理流程详见湖南省公共资源交易服务平台或湖南省公共资源交易服务平台数字证书专区。</w:t>
      </w:r>
    </w:p>
    <w:p w14:paraId="03B770BB">
      <w:pPr>
        <w:adjustRightInd w:val="0"/>
        <w:snapToGrid w:val="0"/>
        <w:spacing w:line="360" w:lineRule="auto"/>
        <w:ind w:firstLine="420" w:firstLineChars="200"/>
        <w:jc w:val="center"/>
        <w:rPr>
          <w:rFonts w:hint="eastAsia" w:ascii="宋体" w:hAnsi="宋体" w:eastAsia="宋体" w:cs="宋体"/>
          <w:b/>
          <w:color w:val="auto"/>
          <w:sz w:val="32"/>
          <w:szCs w:val="32"/>
          <w:highlight w:val="none"/>
        </w:rPr>
      </w:pPr>
      <w:r>
        <w:rPr>
          <w:rFonts w:hint="eastAsia" w:ascii="宋体" w:hAnsi="宋体" w:eastAsia="宋体" w:cs="宋体"/>
          <w:color w:val="auto"/>
          <w:szCs w:val="21"/>
          <w:highlight w:val="none"/>
        </w:rPr>
        <w:br w:type="page"/>
      </w:r>
      <w:bookmarkStart w:id="23" w:name="_Toc6242755"/>
      <w:bookmarkStart w:id="24" w:name="_Toc966139"/>
      <w:bookmarkStart w:id="25" w:name="_Toc129095501"/>
      <w:bookmarkStart w:id="26" w:name="_Toc129095606"/>
      <w:r>
        <w:rPr>
          <w:rFonts w:hint="eastAsia" w:ascii="宋体" w:hAnsi="宋体" w:eastAsia="宋体" w:cs="宋体"/>
          <w:b/>
          <w:color w:val="auto"/>
          <w:sz w:val="32"/>
          <w:szCs w:val="32"/>
          <w:highlight w:val="none"/>
        </w:rPr>
        <w:t>第二章 投标须知</w:t>
      </w:r>
      <w:bookmarkEnd w:id="23"/>
      <w:bookmarkEnd w:id="24"/>
      <w:bookmarkEnd w:id="25"/>
      <w:bookmarkEnd w:id="26"/>
    </w:p>
    <w:p w14:paraId="2E83DB9B">
      <w:pPr>
        <w:jc w:val="center"/>
        <w:rPr>
          <w:rFonts w:hint="eastAsia" w:ascii="宋体" w:hAnsi="宋体" w:eastAsia="宋体" w:cs="宋体"/>
          <w:b/>
          <w:color w:val="auto"/>
          <w:spacing w:val="100"/>
          <w:sz w:val="28"/>
          <w:szCs w:val="28"/>
          <w:highlight w:val="none"/>
        </w:rPr>
      </w:pPr>
      <w:bookmarkStart w:id="27" w:name="EB147d314bf63b4f29801e7fea601de040"/>
      <w:bookmarkEnd w:id="27"/>
      <w:bookmarkStart w:id="28" w:name="EBfd4d485e3ec7400e8bc75ce911b6a55a"/>
      <w:bookmarkEnd w:id="28"/>
      <w:bookmarkStart w:id="29" w:name="_Toc129095502"/>
      <w:bookmarkStart w:id="30" w:name="_Toc129095607"/>
      <w:bookmarkStart w:id="31" w:name="_Toc6242756"/>
      <w:bookmarkStart w:id="32" w:name="_Toc966140"/>
      <w:r>
        <w:rPr>
          <w:rFonts w:hint="eastAsia" w:ascii="宋体" w:hAnsi="宋体" w:eastAsia="宋体" w:cs="宋体"/>
          <w:b/>
          <w:color w:val="auto"/>
          <w:sz w:val="28"/>
          <w:szCs w:val="28"/>
          <w:highlight w:val="none"/>
        </w:rPr>
        <w:t>投标须知前附表</w:t>
      </w:r>
      <w:bookmarkEnd w:id="29"/>
      <w:bookmarkEnd w:id="30"/>
      <w:bookmarkEnd w:id="31"/>
      <w:bookmarkEnd w:id="32"/>
    </w:p>
    <w:tbl>
      <w:tblPr>
        <w:tblStyle w:val="19"/>
        <w:tblW w:w="1081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7266"/>
      </w:tblGrid>
      <w:tr w14:paraId="30A546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blHeader/>
        </w:trPr>
        <w:tc>
          <w:tcPr>
            <w:tcW w:w="1276" w:type="dxa"/>
            <w:noWrap w:val="0"/>
            <w:vAlign w:val="center"/>
          </w:tcPr>
          <w:p w14:paraId="651EEC8E">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2268" w:type="dxa"/>
            <w:noWrap w:val="0"/>
            <w:vAlign w:val="center"/>
          </w:tcPr>
          <w:p w14:paraId="08C540C3">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条款名称</w:t>
            </w:r>
          </w:p>
        </w:tc>
        <w:tc>
          <w:tcPr>
            <w:tcW w:w="7266" w:type="dxa"/>
            <w:noWrap w:val="0"/>
            <w:vAlign w:val="center"/>
          </w:tcPr>
          <w:p w14:paraId="10420350">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编列内容规定</w:t>
            </w:r>
          </w:p>
        </w:tc>
      </w:tr>
      <w:tr w14:paraId="0DBB7D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0810" w:type="dxa"/>
            <w:gridSpan w:val="3"/>
            <w:noWrap w:val="0"/>
            <w:vAlign w:val="center"/>
          </w:tcPr>
          <w:p w14:paraId="7A6D22A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一、说明</w:t>
            </w:r>
          </w:p>
        </w:tc>
      </w:tr>
      <w:tr w14:paraId="439DDC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noWrap w:val="0"/>
            <w:vAlign w:val="center"/>
          </w:tcPr>
          <w:p w14:paraId="5B2DA37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5A2A215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w:t>
            </w:r>
          </w:p>
        </w:tc>
        <w:tc>
          <w:tcPr>
            <w:tcW w:w="7266" w:type="dxa"/>
            <w:noWrap w:val="0"/>
            <w:vAlign w:val="center"/>
          </w:tcPr>
          <w:p w14:paraId="40BEADE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创新药物及医疗器械研发中心设备采购及安装项目</w:t>
            </w:r>
          </w:p>
        </w:tc>
      </w:tr>
      <w:tr w14:paraId="46E8FD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0AF201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6501CEE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7266" w:type="dxa"/>
            <w:noWrap w:val="0"/>
            <w:vAlign w:val="center"/>
          </w:tcPr>
          <w:p w14:paraId="380364A1">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r>
              <w:rPr>
                <w:rFonts w:hint="eastAsia" w:ascii="宋体" w:hAnsi="宋体" w:eastAsia="宋体" w:cs="宋体"/>
                <w:bCs/>
                <w:color w:val="auto"/>
                <w:sz w:val="24"/>
                <w:szCs w:val="24"/>
                <w:highlight w:val="none"/>
              </w:rPr>
              <w:t>湖南普瑞玛药物研究中心有限公司</w:t>
            </w:r>
          </w:p>
          <w:p w14:paraId="6A536B2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址：浏阳经济技术开发区康天路123号</w:t>
            </w:r>
          </w:p>
          <w:p w14:paraId="28F108E8">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联系人：黄羽南</w:t>
            </w:r>
          </w:p>
          <w:p w14:paraId="35E1DC2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电话：13637486313</w:t>
            </w:r>
          </w:p>
        </w:tc>
      </w:tr>
      <w:tr w14:paraId="41D87B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05C9110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第2.2</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45747D3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7266" w:type="dxa"/>
            <w:noWrap w:val="0"/>
            <w:vAlign w:val="center"/>
          </w:tcPr>
          <w:p w14:paraId="0D281781">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名称：湖南扬屹咨询管理有限公司  </w:t>
            </w:r>
          </w:p>
          <w:p w14:paraId="5CE6E05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地址：浏阳市金沙北路彩虹城5单元25楼    </w:t>
            </w:r>
          </w:p>
          <w:p w14:paraId="611F58D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联系人：卢琳</w:t>
            </w:r>
          </w:p>
          <w:p w14:paraId="698C5892">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话：18374892479</w:t>
            </w:r>
          </w:p>
        </w:tc>
      </w:tr>
      <w:tr w14:paraId="13EF4A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03552EC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第3.1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24C5FB4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投标人</w:t>
            </w:r>
            <w:r>
              <w:rPr>
                <w:rFonts w:hint="eastAsia" w:ascii="宋体" w:hAnsi="宋体" w:eastAsia="宋体" w:cs="宋体"/>
                <w:color w:val="auto"/>
                <w:sz w:val="24"/>
                <w:szCs w:val="24"/>
                <w:highlight w:val="none"/>
              </w:rPr>
              <w:t>资格条件</w:t>
            </w:r>
          </w:p>
        </w:tc>
        <w:tc>
          <w:tcPr>
            <w:tcW w:w="7266" w:type="dxa"/>
            <w:noWrap w:val="0"/>
            <w:vAlign w:val="center"/>
          </w:tcPr>
          <w:p w14:paraId="2AA8850C">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详见第一章“投标邀请”第三条“投标人的资格要求”</w:t>
            </w:r>
          </w:p>
        </w:tc>
      </w:tr>
      <w:tr w14:paraId="2A5505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015659B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第6.1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02DC0AB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组织现场考察或者召开答疑会</w:t>
            </w:r>
          </w:p>
        </w:tc>
        <w:tc>
          <w:tcPr>
            <w:tcW w:w="7266" w:type="dxa"/>
            <w:noWrap w:val="0"/>
            <w:vAlign w:val="center"/>
          </w:tcPr>
          <w:p w14:paraId="1A7D2852">
            <w:pPr>
              <w:adjustRightInd w:val="0"/>
              <w:snapToGrid w:val="0"/>
              <w:spacing w:line="360" w:lineRule="auto"/>
              <w:rPr>
                <w:rFonts w:hint="eastAsia" w:ascii="宋体" w:hAnsi="宋体" w:eastAsia="宋体" w:cs="宋体"/>
                <w:color w:val="auto"/>
                <w:sz w:val="24"/>
                <w:szCs w:val="24"/>
                <w:highlight w:val="none"/>
              </w:rPr>
            </w:pPr>
            <w:bookmarkStart w:id="33" w:name="EB19e68845d2f9406b9aa58ee69ee073e8"/>
            <w:r>
              <w:rPr>
                <w:rFonts w:hint="eastAsia" w:ascii="宋体" w:hAnsi="宋体" w:eastAsia="宋体" w:cs="宋体"/>
                <w:color w:val="auto"/>
                <w:sz w:val="24"/>
                <w:szCs w:val="24"/>
                <w:highlight w:val="none"/>
              </w:rPr>
              <w:t>☑不组织□组织，</w:t>
            </w:r>
            <w:bookmarkEnd w:id="33"/>
          </w:p>
          <w:p w14:paraId="3C9C789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bookmarkStart w:id="34" w:name="EB0923525ad1a848bb8c886aded0872862"/>
            <w:r>
              <w:rPr>
                <w:rFonts w:hint="eastAsia" w:ascii="宋体" w:hAnsi="宋体" w:eastAsia="宋体" w:cs="宋体"/>
                <w:color w:val="auto"/>
                <w:sz w:val="24"/>
                <w:szCs w:val="24"/>
                <w:highlight w:val="none"/>
              </w:rPr>
              <w:t>/</w:t>
            </w:r>
            <w:bookmarkEnd w:id="34"/>
            <w:r>
              <w:rPr>
                <w:rFonts w:hint="eastAsia" w:ascii="宋体" w:hAnsi="宋体" w:eastAsia="宋体" w:cs="宋体"/>
                <w:color w:val="auto"/>
                <w:sz w:val="24"/>
                <w:szCs w:val="24"/>
                <w:highlight w:val="none"/>
              </w:rPr>
              <w:t>地点：</w:t>
            </w:r>
            <w:bookmarkStart w:id="35" w:name="EBa7cfe433ede346918fb0e34e0257840d"/>
            <w:r>
              <w:rPr>
                <w:rFonts w:hint="eastAsia" w:ascii="宋体" w:hAnsi="宋体" w:eastAsia="宋体" w:cs="宋体"/>
                <w:color w:val="auto"/>
                <w:sz w:val="24"/>
                <w:szCs w:val="24"/>
                <w:highlight w:val="none"/>
              </w:rPr>
              <w:t>/</w:t>
            </w:r>
            <w:bookmarkEnd w:id="35"/>
            <w:r>
              <w:rPr>
                <w:rFonts w:hint="eastAsia" w:ascii="宋体" w:hAnsi="宋体" w:eastAsia="宋体" w:cs="宋体"/>
                <w:color w:val="auto"/>
                <w:sz w:val="24"/>
                <w:szCs w:val="24"/>
                <w:highlight w:val="none"/>
              </w:rPr>
              <w:t>联系人：</w:t>
            </w:r>
            <w:bookmarkStart w:id="36" w:name="EB67bf9e6a0243425dae73f2028d36a295"/>
            <w:r>
              <w:rPr>
                <w:rFonts w:hint="eastAsia" w:ascii="宋体" w:hAnsi="宋体" w:eastAsia="宋体" w:cs="宋体"/>
                <w:color w:val="auto"/>
                <w:sz w:val="24"/>
                <w:szCs w:val="24"/>
                <w:highlight w:val="none"/>
              </w:rPr>
              <w:t>/</w:t>
            </w:r>
            <w:bookmarkEnd w:id="36"/>
            <w:r>
              <w:rPr>
                <w:rFonts w:hint="eastAsia" w:ascii="宋体" w:hAnsi="宋体" w:eastAsia="宋体" w:cs="宋体"/>
                <w:color w:val="auto"/>
                <w:sz w:val="24"/>
                <w:szCs w:val="24"/>
                <w:highlight w:val="none"/>
              </w:rPr>
              <w:t>，或者在招标文件提供期限截止后以书面形式通知所有获取招标文件的潜在投标人。</w:t>
            </w:r>
          </w:p>
        </w:tc>
      </w:tr>
      <w:tr w14:paraId="383058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6F56DDB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第6.2</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2245863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投标人要求澄清招标文件的时间</w:t>
            </w:r>
          </w:p>
        </w:tc>
        <w:tc>
          <w:tcPr>
            <w:tcW w:w="7266" w:type="dxa"/>
            <w:noWrap w:val="0"/>
            <w:vAlign w:val="center"/>
          </w:tcPr>
          <w:p w14:paraId="0AC4AB45">
            <w:pPr>
              <w:adjustRightInd w:val="0"/>
              <w:snapToGrid w:val="0"/>
              <w:spacing w:line="360" w:lineRule="auto"/>
              <w:rPr>
                <w:rFonts w:hint="eastAsia" w:ascii="宋体" w:hAnsi="宋体" w:eastAsia="宋体" w:cs="宋体"/>
                <w:color w:val="auto"/>
                <w:sz w:val="24"/>
                <w:szCs w:val="24"/>
                <w:highlight w:val="none"/>
              </w:rPr>
            </w:pPr>
            <w:bookmarkStart w:id="37" w:name="EB45a74bd759074b979e2e3bd71a799a25"/>
            <w:r>
              <w:rPr>
                <w:rFonts w:hint="eastAsia" w:ascii="宋体" w:hAnsi="宋体" w:eastAsia="宋体" w:cs="宋体"/>
                <w:color w:val="auto"/>
                <w:sz w:val="24"/>
                <w:szCs w:val="24"/>
                <w:highlight w:val="none"/>
              </w:rPr>
              <w:t>2026-</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 xml:space="preserve">  17:00</w:t>
            </w:r>
            <w:bookmarkEnd w:id="37"/>
            <w:r>
              <w:rPr>
                <w:rFonts w:hint="eastAsia" w:ascii="宋体" w:hAnsi="宋体" w:eastAsia="宋体" w:cs="宋体"/>
                <w:color w:val="auto"/>
                <w:sz w:val="24"/>
                <w:szCs w:val="24"/>
                <w:highlight w:val="none"/>
              </w:rPr>
              <w:t>前。</w:t>
            </w:r>
          </w:p>
        </w:tc>
      </w:tr>
      <w:tr w14:paraId="1B8346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6563EAD1">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二、招标文件</w:t>
            </w:r>
          </w:p>
        </w:tc>
      </w:tr>
      <w:tr w14:paraId="57F72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311B5E6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第8.2</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3231FDC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非实质性要求条款允许偏离的最多项数或范围</w:t>
            </w:r>
          </w:p>
        </w:tc>
        <w:tc>
          <w:tcPr>
            <w:tcW w:w="7266" w:type="dxa"/>
            <w:noWrap w:val="0"/>
            <w:vAlign w:val="center"/>
          </w:tcPr>
          <w:p w14:paraId="7F4518A3">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非实质性要求条款允许偏离的最多项数≥9项将导致投标无效。</w:t>
            </w:r>
          </w:p>
        </w:tc>
      </w:tr>
      <w:tr w14:paraId="12EB09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A3ABE0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第7.4</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6FCB362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招标文件公告期限</w:t>
            </w:r>
          </w:p>
        </w:tc>
        <w:tc>
          <w:tcPr>
            <w:tcW w:w="7266" w:type="dxa"/>
            <w:noWrap w:val="0"/>
            <w:vAlign w:val="center"/>
          </w:tcPr>
          <w:p w14:paraId="05D20939">
            <w:pPr>
              <w:adjustRightInd w:val="0"/>
              <w:snapToGrid w:val="0"/>
              <w:spacing w:line="360" w:lineRule="auto"/>
              <w:rPr>
                <w:rFonts w:hint="eastAsia" w:ascii="宋体" w:hAnsi="宋体" w:eastAsia="宋体" w:cs="宋体"/>
                <w:color w:val="auto"/>
                <w:sz w:val="24"/>
                <w:szCs w:val="24"/>
                <w:highlight w:val="none"/>
              </w:rPr>
            </w:pPr>
            <w:bookmarkStart w:id="38" w:name="EBdfced53d53af4ae1b66e0de87d653dc2"/>
            <w:r>
              <w:rPr>
                <w:rFonts w:hint="eastAsia" w:ascii="宋体" w:hAnsi="宋体" w:eastAsia="宋体" w:cs="宋体"/>
                <w:color w:val="auto"/>
                <w:sz w:val="24"/>
                <w:szCs w:val="24"/>
                <w:highlight w:val="none"/>
              </w:rPr>
              <w:t>2026-</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02</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17:00</w:t>
            </w:r>
            <w:bookmarkEnd w:id="38"/>
            <w:r>
              <w:rPr>
                <w:rFonts w:hint="eastAsia" w:ascii="宋体" w:hAnsi="宋体" w:eastAsia="宋体" w:cs="宋体"/>
                <w:color w:val="auto"/>
                <w:sz w:val="24"/>
                <w:szCs w:val="24"/>
                <w:highlight w:val="none"/>
              </w:rPr>
              <w:t>至</w:t>
            </w:r>
            <w:bookmarkStart w:id="39" w:name="EB7c1acd5264e54a0fb6870d86ad2ba5e1"/>
            <w:r>
              <w:rPr>
                <w:rFonts w:hint="eastAsia" w:ascii="宋体" w:hAnsi="宋体" w:eastAsia="宋体" w:cs="宋体"/>
                <w:color w:val="auto"/>
                <w:sz w:val="24"/>
                <w:szCs w:val="24"/>
                <w:highlight w:val="none"/>
              </w:rPr>
              <w:t>2026-</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rPr>
              <w:t xml:space="preserve">  17:00</w:t>
            </w:r>
            <w:bookmarkEnd w:id="39"/>
          </w:p>
        </w:tc>
      </w:tr>
      <w:tr w14:paraId="11B1C2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1" w:hRule="atLeast"/>
        </w:trPr>
        <w:tc>
          <w:tcPr>
            <w:tcW w:w="1276" w:type="dxa"/>
            <w:noWrap w:val="0"/>
            <w:vAlign w:val="center"/>
          </w:tcPr>
          <w:p w14:paraId="086527B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第9.2</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561E113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信息公告媒体</w:t>
            </w:r>
          </w:p>
        </w:tc>
        <w:tc>
          <w:tcPr>
            <w:tcW w:w="7266" w:type="dxa"/>
            <w:noWrap w:val="0"/>
            <w:vAlign w:val="center"/>
          </w:tcPr>
          <w:p w14:paraId="153A7B0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湖南省公共资源交易服务平台（https://changsha.hnsggzy.com）</w:t>
            </w:r>
          </w:p>
        </w:tc>
      </w:tr>
      <w:tr w14:paraId="2F1E85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noWrap w:val="0"/>
            <w:vAlign w:val="center"/>
          </w:tcPr>
          <w:p w14:paraId="14E2623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第21.1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71170DA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提交投标文件截止期时间</w:t>
            </w:r>
          </w:p>
        </w:tc>
        <w:tc>
          <w:tcPr>
            <w:tcW w:w="7266" w:type="dxa"/>
            <w:noWrap w:val="0"/>
            <w:vAlign w:val="center"/>
          </w:tcPr>
          <w:p w14:paraId="30F397B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23</w:t>
            </w:r>
            <w:r>
              <w:rPr>
                <w:rFonts w:hint="eastAsia" w:ascii="宋体" w:hAnsi="宋体" w:eastAsia="宋体" w:cs="宋体"/>
                <w:color w:val="auto"/>
                <w:sz w:val="24"/>
                <w:szCs w:val="24"/>
                <w:highlight w:val="none"/>
              </w:rPr>
              <w:t xml:space="preserve">   09:00（北京时间）</w:t>
            </w:r>
          </w:p>
        </w:tc>
      </w:tr>
      <w:tr w14:paraId="09C268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0810" w:type="dxa"/>
            <w:gridSpan w:val="3"/>
            <w:noWrap w:val="0"/>
            <w:vAlign w:val="center"/>
          </w:tcPr>
          <w:p w14:paraId="17D2C19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三、投标文件</w:t>
            </w:r>
          </w:p>
        </w:tc>
      </w:tr>
      <w:tr w14:paraId="01816B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noWrap w:val="0"/>
            <w:vAlign w:val="center"/>
          </w:tcPr>
          <w:p w14:paraId="2777823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第14.1款</w:t>
            </w:r>
          </w:p>
        </w:tc>
        <w:tc>
          <w:tcPr>
            <w:tcW w:w="2268" w:type="dxa"/>
            <w:noWrap w:val="0"/>
            <w:vAlign w:val="center"/>
          </w:tcPr>
          <w:p w14:paraId="0FF95E6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投标报价的规定</w:t>
            </w:r>
          </w:p>
        </w:tc>
        <w:tc>
          <w:tcPr>
            <w:tcW w:w="7266" w:type="dxa"/>
            <w:noWrap w:val="0"/>
            <w:vAlign w:val="center"/>
          </w:tcPr>
          <w:p w14:paraId="4C76EC8C">
            <w:pPr>
              <w:adjustRightInd w:val="0"/>
              <w:snapToGrid w:val="0"/>
              <w:spacing w:line="360" w:lineRule="auto"/>
              <w:rPr>
                <w:rFonts w:hint="eastAsia" w:ascii="宋体" w:hAnsi="宋体" w:eastAsia="宋体" w:cs="宋体"/>
                <w:color w:val="auto"/>
                <w:sz w:val="24"/>
                <w:szCs w:val="24"/>
                <w:highlight w:val="none"/>
              </w:rPr>
            </w:pPr>
            <w:bookmarkStart w:id="40" w:name="EBa308d5cf6e774cd1846fa521ebf5677e"/>
            <w:r>
              <w:rPr>
                <w:rFonts w:hint="eastAsia" w:ascii="宋体" w:hAnsi="宋体" w:eastAsia="宋体" w:cs="宋体"/>
                <w:color w:val="auto"/>
                <w:sz w:val="24"/>
                <w:szCs w:val="24"/>
                <w:highlight w:val="none"/>
              </w:rPr>
              <w:t>按招标文件要求报价</w:t>
            </w:r>
            <w:bookmarkEnd w:id="40"/>
          </w:p>
        </w:tc>
      </w:tr>
      <w:tr w14:paraId="2A0131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671794D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第14.5</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2CC199B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采购预算、最高限价（如果设）</w:t>
            </w:r>
          </w:p>
        </w:tc>
        <w:tc>
          <w:tcPr>
            <w:tcW w:w="7266" w:type="dxa"/>
            <w:noWrap w:val="0"/>
            <w:vAlign w:val="center"/>
          </w:tcPr>
          <w:p w14:paraId="205841B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采购预算：</w:t>
            </w:r>
            <w:r>
              <w:rPr>
                <w:rFonts w:hint="eastAsia" w:ascii="宋体" w:hAnsi="宋体" w:eastAsia="宋体" w:cs="宋体"/>
                <w:color w:val="auto"/>
                <w:kern w:val="0"/>
                <w:sz w:val="24"/>
                <w:szCs w:val="24"/>
                <w:highlight w:val="none"/>
              </w:rPr>
              <w:t>49995437.79元</w:t>
            </w:r>
          </w:p>
          <w:p w14:paraId="61C7D91E">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如果设定最高限价，最高限价：</w:t>
            </w:r>
            <w:r>
              <w:rPr>
                <w:rFonts w:hint="eastAsia" w:ascii="宋体" w:hAnsi="宋体" w:eastAsia="宋体" w:cs="宋体"/>
                <w:color w:val="auto"/>
                <w:kern w:val="0"/>
                <w:sz w:val="24"/>
                <w:szCs w:val="24"/>
                <w:highlight w:val="none"/>
              </w:rPr>
              <w:t>49995437.79元</w:t>
            </w:r>
          </w:p>
        </w:tc>
      </w:tr>
      <w:tr w14:paraId="4BDF37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5B7B1A5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第17.1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4288066E">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投标有效期</w:t>
            </w:r>
          </w:p>
        </w:tc>
        <w:tc>
          <w:tcPr>
            <w:tcW w:w="7266" w:type="dxa"/>
            <w:noWrap w:val="0"/>
            <w:vAlign w:val="center"/>
          </w:tcPr>
          <w:p w14:paraId="5D5522A6">
            <w:pPr>
              <w:adjustRightInd w:val="0"/>
              <w:snapToGrid w:val="0"/>
              <w:spacing w:line="360" w:lineRule="auto"/>
              <w:rPr>
                <w:rFonts w:hint="eastAsia" w:ascii="宋体" w:hAnsi="宋体" w:eastAsia="宋体" w:cs="宋体"/>
                <w:bCs/>
                <w:color w:val="auto"/>
                <w:sz w:val="24"/>
                <w:szCs w:val="24"/>
                <w:highlight w:val="none"/>
              </w:rPr>
            </w:pPr>
            <w:bookmarkStart w:id="41" w:name="EB93a10630325c499d861b2a7630a1bd10"/>
            <w:r>
              <w:rPr>
                <w:rFonts w:hint="eastAsia" w:ascii="宋体" w:hAnsi="宋体" w:eastAsia="宋体" w:cs="宋体"/>
                <w:color w:val="auto"/>
                <w:sz w:val="24"/>
                <w:szCs w:val="24"/>
                <w:highlight w:val="none"/>
              </w:rPr>
              <w:t>90</w:t>
            </w:r>
            <w:bookmarkEnd w:id="41"/>
            <w:r>
              <w:rPr>
                <w:rFonts w:hint="eastAsia" w:ascii="宋体" w:hAnsi="宋体" w:eastAsia="宋体" w:cs="宋体"/>
                <w:color w:val="auto"/>
                <w:sz w:val="24"/>
                <w:szCs w:val="24"/>
                <w:highlight w:val="none"/>
              </w:rPr>
              <w:t>日（日历日）</w:t>
            </w:r>
          </w:p>
        </w:tc>
      </w:tr>
      <w:tr w14:paraId="7B1CA0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D2F41A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第18.1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353CAF7D">
            <w:pPr>
              <w:adjustRightInd w:val="0"/>
              <w:snapToGrid w:val="0"/>
              <w:spacing w:line="360" w:lineRule="auto"/>
              <w:ind w:left="-533" w:leftChars="-254" w:firstLine="609" w:firstLineChars="25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w:t>
            </w:r>
          </w:p>
        </w:tc>
        <w:tc>
          <w:tcPr>
            <w:tcW w:w="7266" w:type="dxa"/>
            <w:noWrap w:val="0"/>
            <w:vAlign w:val="center"/>
          </w:tcPr>
          <w:p w14:paraId="025004F9">
            <w:pPr>
              <w:adjustRightInd w:val="0"/>
              <w:snapToGrid w:val="0"/>
              <w:spacing w:before="156" w:beforeLines="5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根据《关于进一步优化营商环境促进政府采购提速增效相关事项的通知》要求，为进一步降低交易成本费用，减轻企业资金负担，取消政府采购项目的投标保证金。</w:t>
            </w:r>
          </w:p>
        </w:tc>
      </w:tr>
      <w:tr w14:paraId="0DC773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64F2C0C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第21.1款</w:t>
            </w:r>
          </w:p>
        </w:tc>
        <w:tc>
          <w:tcPr>
            <w:tcW w:w="2268" w:type="dxa"/>
            <w:noWrap w:val="0"/>
            <w:vAlign w:val="center"/>
          </w:tcPr>
          <w:p w14:paraId="74D78EE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电子投标文件</w:t>
            </w:r>
          </w:p>
          <w:p w14:paraId="00FA0E3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制作要求</w:t>
            </w:r>
          </w:p>
        </w:tc>
        <w:tc>
          <w:tcPr>
            <w:tcW w:w="7266" w:type="dxa"/>
            <w:noWrap w:val="0"/>
            <w:vAlign w:val="center"/>
          </w:tcPr>
          <w:p w14:paraId="79CF916E">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电子投标文件必须使用长沙公共资源交易电子服务平台发布的“电子投标文件制作工具”编制生成。</w:t>
            </w:r>
          </w:p>
        </w:tc>
      </w:tr>
      <w:tr w14:paraId="7056F4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6913634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第20款</w:t>
            </w:r>
          </w:p>
        </w:tc>
        <w:tc>
          <w:tcPr>
            <w:tcW w:w="2268" w:type="dxa"/>
            <w:noWrap w:val="0"/>
            <w:vAlign w:val="center"/>
          </w:tcPr>
          <w:p w14:paraId="24C80B7E">
            <w:pPr>
              <w:spacing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投标文件份数</w:t>
            </w:r>
          </w:p>
        </w:tc>
        <w:tc>
          <w:tcPr>
            <w:tcW w:w="7266" w:type="dxa"/>
            <w:noWrap w:val="0"/>
            <w:vAlign w:val="center"/>
          </w:tcPr>
          <w:p w14:paraId="5CBCFA34">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电子文件：投标人应准备所投项目的电子投标文件一份</w:t>
            </w:r>
          </w:p>
        </w:tc>
      </w:tr>
      <w:tr w14:paraId="0FA68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5F197A86">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四、投标</w:t>
            </w:r>
          </w:p>
        </w:tc>
      </w:tr>
      <w:tr w14:paraId="3881B2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8A64A6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2268" w:type="dxa"/>
            <w:noWrap w:val="0"/>
            <w:vAlign w:val="center"/>
          </w:tcPr>
          <w:p w14:paraId="266F3D6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投标文件的递交</w:t>
            </w:r>
          </w:p>
        </w:tc>
        <w:tc>
          <w:tcPr>
            <w:tcW w:w="7266" w:type="dxa"/>
            <w:noWrap w:val="0"/>
            <w:vAlign w:val="center"/>
          </w:tcPr>
          <w:p w14:paraId="45A58FCB">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实行网上投标，供应商必须在采购文件规定的投标截止时间前用电子密钥登录长沙政府采购电子交易系统</w:t>
            </w:r>
          </w:p>
          <w:p w14:paraId="40C5B5B8">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等线" w:cs="Times New Roman"/>
                <w:color w:val="auto"/>
                <w:sz w:val="24"/>
                <w:szCs w:val="24"/>
                <w:highlight w:val="none"/>
              </w:rPr>
              <w:t>（http://zfcg.csggzy.cn/TPBidder/memberLogin）</w:t>
            </w:r>
            <w:r>
              <w:rPr>
                <w:rFonts w:hint="eastAsia" w:ascii="宋体" w:hAnsi="宋体" w:eastAsia="宋体" w:cs="宋体"/>
                <w:color w:val="auto"/>
                <w:sz w:val="24"/>
                <w:szCs w:val="24"/>
                <w:highlight w:val="none"/>
              </w:rPr>
              <w:t>完成文件递交。</w:t>
            </w:r>
          </w:p>
        </w:tc>
      </w:tr>
      <w:tr w14:paraId="316B6C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7D91E48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第24.1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4344855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分包</w:t>
            </w:r>
          </w:p>
        </w:tc>
        <w:tc>
          <w:tcPr>
            <w:tcW w:w="7266" w:type="dxa"/>
            <w:noWrap w:val="0"/>
            <w:vAlign w:val="center"/>
          </w:tcPr>
          <w:p w14:paraId="4604014F">
            <w:pPr>
              <w:adjustRightInd w:val="0"/>
              <w:snapToGrid w:val="0"/>
              <w:spacing w:line="360" w:lineRule="auto"/>
              <w:rPr>
                <w:rFonts w:hint="eastAsia" w:ascii="宋体" w:hAnsi="宋体" w:eastAsia="宋体" w:cs="宋体"/>
                <w:color w:val="auto"/>
                <w:sz w:val="24"/>
                <w:szCs w:val="24"/>
                <w:highlight w:val="none"/>
              </w:rPr>
            </w:pPr>
            <w:bookmarkStart w:id="42" w:name="EB17d6987bf9874b4c87ddc47087d483ab"/>
            <w:r>
              <w:rPr>
                <w:rFonts w:hint="eastAsia" w:ascii="宋体" w:hAnsi="宋体" w:eastAsia="宋体" w:cs="宋体"/>
                <w:color w:val="auto"/>
                <w:sz w:val="24"/>
                <w:szCs w:val="24"/>
                <w:highlight w:val="none"/>
              </w:rPr>
              <w:t>□</w:t>
            </w:r>
            <w:bookmarkEnd w:id="42"/>
            <w:r>
              <w:rPr>
                <w:rFonts w:hint="eastAsia" w:ascii="宋体" w:hAnsi="宋体" w:eastAsia="宋体" w:cs="宋体"/>
                <w:color w:val="auto"/>
                <w:sz w:val="24"/>
                <w:szCs w:val="24"/>
                <w:highlight w:val="none"/>
              </w:rPr>
              <w:t>允许分包。</w:t>
            </w:r>
          </w:p>
          <w:p w14:paraId="454E1B3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分包内容：</w:t>
            </w:r>
            <w:bookmarkStart w:id="43" w:name="EB3a440898b3e74e8e965a0bdd139d4034"/>
            <w:r>
              <w:rPr>
                <w:rFonts w:hint="eastAsia" w:ascii="宋体" w:hAnsi="宋体" w:eastAsia="宋体" w:cs="宋体"/>
                <w:color w:val="auto"/>
                <w:sz w:val="24"/>
                <w:szCs w:val="24"/>
                <w:highlight w:val="none"/>
              </w:rPr>
              <w:t>/</w:t>
            </w:r>
            <w:bookmarkEnd w:id="43"/>
          </w:p>
          <w:p w14:paraId="39DC362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分包金额</w:t>
            </w:r>
            <w:bookmarkStart w:id="44" w:name="EBe8c43b98cf904c42b4804ef1a755e024"/>
            <w:r>
              <w:rPr>
                <w:rFonts w:hint="eastAsia" w:ascii="宋体" w:hAnsi="宋体" w:eastAsia="宋体" w:cs="宋体"/>
                <w:color w:val="auto"/>
                <w:sz w:val="24"/>
                <w:szCs w:val="24"/>
                <w:highlight w:val="none"/>
              </w:rPr>
              <w:t>/</w:t>
            </w:r>
            <w:bookmarkEnd w:id="44"/>
            <w:r>
              <w:rPr>
                <w:rFonts w:hint="eastAsia" w:ascii="宋体" w:hAnsi="宋体" w:eastAsia="宋体" w:cs="宋体"/>
                <w:color w:val="auto"/>
                <w:sz w:val="24"/>
                <w:szCs w:val="24"/>
                <w:highlight w:val="none"/>
              </w:rPr>
              <w:t>和资质要求</w:t>
            </w:r>
            <w:bookmarkStart w:id="45" w:name="EB99a5ab4a3c65461891203ee7e8714672"/>
            <w:r>
              <w:rPr>
                <w:rFonts w:hint="eastAsia" w:ascii="宋体" w:hAnsi="宋体" w:eastAsia="宋体" w:cs="宋体"/>
                <w:color w:val="auto"/>
                <w:sz w:val="24"/>
                <w:szCs w:val="24"/>
                <w:highlight w:val="none"/>
              </w:rPr>
              <w:t>/</w:t>
            </w:r>
            <w:bookmarkEnd w:id="45"/>
            <w:r>
              <w:rPr>
                <w:rFonts w:hint="eastAsia" w:ascii="宋体" w:hAnsi="宋体" w:eastAsia="宋体" w:cs="宋体"/>
                <w:color w:val="auto"/>
                <w:sz w:val="24"/>
                <w:szCs w:val="24"/>
                <w:highlight w:val="none"/>
              </w:rPr>
              <w:t>等。</w:t>
            </w:r>
          </w:p>
          <w:p w14:paraId="228F69AA">
            <w:pPr>
              <w:adjustRightInd w:val="0"/>
              <w:snapToGrid w:val="0"/>
              <w:spacing w:line="360" w:lineRule="auto"/>
              <w:rPr>
                <w:rFonts w:hint="eastAsia" w:ascii="宋体" w:hAnsi="宋体" w:eastAsia="宋体" w:cs="宋体"/>
                <w:b/>
                <w:bCs/>
                <w:color w:val="auto"/>
                <w:sz w:val="24"/>
                <w:szCs w:val="24"/>
                <w:highlight w:val="none"/>
              </w:rPr>
            </w:pPr>
            <w:bookmarkStart w:id="46" w:name="EBc6cb30c843914fc4a0d3ef3ad63a5dac"/>
            <w:r>
              <w:rPr>
                <w:rFonts w:hint="eastAsia" w:ascii="宋体" w:hAnsi="宋体" w:eastAsia="宋体" w:cs="宋体"/>
                <w:bCs/>
                <w:color w:val="auto"/>
                <w:sz w:val="24"/>
                <w:szCs w:val="24"/>
                <w:highlight w:val="none"/>
              </w:rPr>
              <w:t>☑</w:t>
            </w:r>
            <w:bookmarkEnd w:id="46"/>
            <w:r>
              <w:rPr>
                <w:rFonts w:hint="eastAsia" w:ascii="宋体" w:hAnsi="宋体" w:eastAsia="宋体" w:cs="宋体"/>
                <w:bCs/>
                <w:color w:val="auto"/>
                <w:sz w:val="24"/>
                <w:szCs w:val="24"/>
                <w:highlight w:val="none"/>
              </w:rPr>
              <w:t>不允许分包</w:t>
            </w:r>
          </w:p>
        </w:tc>
      </w:tr>
      <w:tr w14:paraId="28AAF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2BF1E2D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五、开标、资格审查和评标</w:t>
            </w:r>
          </w:p>
        </w:tc>
      </w:tr>
      <w:tr w14:paraId="15CE2D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7AA32E2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第26.1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340175F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需要宣布的其他内容</w:t>
            </w:r>
          </w:p>
        </w:tc>
        <w:tc>
          <w:tcPr>
            <w:tcW w:w="7266" w:type="dxa"/>
            <w:noWrap w:val="0"/>
            <w:vAlign w:val="center"/>
          </w:tcPr>
          <w:p w14:paraId="6A0B2DC2">
            <w:pPr>
              <w:adjustRightInd w:val="0"/>
              <w:snapToGrid w:val="0"/>
              <w:spacing w:line="360" w:lineRule="auto"/>
              <w:rPr>
                <w:rFonts w:hint="eastAsia" w:ascii="宋体" w:hAnsi="宋体" w:eastAsia="宋体" w:cs="宋体"/>
                <w:color w:val="auto"/>
                <w:sz w:val="24"/>
                <w:szCs w:val="24"/>
                <w:highlight w:val="none"/>
              </w:rPr>
            </w:pPr>
            <w:bookmarkStart w:id="47" w:name="EB4b178c864b2d467687d243493a465ba9"/>
            <w:r>
              <w:rPr>
                <w:rFonts w:hint="eastAsia" w:ascii="宋体" w:hAnsi="宋体" w:eastAsia="宋体" w:cs="宋体"/>
                <w:color w:val="auto"/>
                <w:sz w:val="24"/>
                <w:szCs w:val="24"/>
                <w:highlight w:val="none"/>
              </w:rPr>
              <w:t>无</w:t>
            </w:r>
            <w:bookmarkEnd w:id="47"/>
          </w:p>
        </w:tc>
      </w:tr>
      <w:tr w14:paraId="3B4E6D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141BC81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第26.2</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0520E8B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解密时长</w:t>
            </w:r>
          </w:p>
        </w:tc>
        <w:tc>
          <w:tcPr>
            <w:tcW w:w="7266" w:type="dxa"/>
            <w:noWrap w:val="0"/>
            <w:vAlign w:val="center"/>
          </w:tcPr>
          <w:p w14:paraId="76ABD3A6">
            <w:pPr>
              <w:adjustRightInd w:val="0"/>
              <w:snapToGrid w:val="0"/>
              <w:spacing w:line="360" w:lineRule="auto"/>
              <w:rPr>
                <w:rFonts w:hint="eastAsia" w:ascii="宋体" w:hAnsi="宋体" w:eastAsia="宋体" w:cs="宋体"/>
                <w:color w:val="auto"/>
                <w:sz w:val="24"/>
                <w:szCs w:val="24"/>
                <w:highlight w:val="none"/>
              </w:rPr>
            </w:pPr>
            <w:bookmarkStart w:id="48" w:name="EBa53af05ebf12466b936d989eca52744d"/>
            <w:r>
              <w:rPr>
                <w:rFonts w:hint="eastAsia" w:ascii="宋体" w:hAnsi="宋体" w:eastAsia="宋体" w:cs="宋体"/>
                <w:color w:val="auto"/>
                <w:sz w:val="24"/>
                <w:szCs w:val="24"/>
                <w:highlight w:val="none"/>
              </w:rPr>
              <w:t>30</w:t>
            </w:r>
            <w:bookmarkEnd w:id="48"/>
            <w:r>
              <w:rPr>
                <w:rFonts w:hint="eastAsia" w:ascii="宋体" w:hAnsi="宋体" w:eastAsia="宋体" w:cs="宋体"/>
                <w:color w:val="auto"/>
                <w:sz w:val="24"/>
                <w:szCs w:val="24"/>
                <w:highlight w:val="none"/>
              </w:rPr>
              <w:t>分钟</w:t>
            </w:r>
          </w:p>
        </w:tc>
      </w:tr>
      <w:tr w14:paraId="744FC4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753D6325">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六、中标信息公布</w:t>
            </w:r>
          </w:p>
        </w:tc>
      </w:tr>
      <w:tr w14:paraId="5FC28F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997A6F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第30.2</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46D973FF">
            <w:pPr>
              <w:adjustRightInd w:val="0"/>
              <w:snapToGrid w:val="0"/>
              <w:spacing w:before="156" w:beforeLines="5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确定中标人的方式</w:t>
            </w:r>
          </w:p>
        </w:tc>
        <w:tc>
          <w:tcPr>
            <w:tcW w:w="7266" w:type="dxa"/>
            <w:noWrap w:val="0"/>
            <w:vAlign w:val="center"/>
          </w:tcPr>
          <w:p w14:paraId="11D4D859">
            <w:pPr>
              <w:adjustRightInd w:val="0"/>
              <w:snapToGrid w:val="0"/>
              <w:spacing w:before="156" w:beforeLines="50" w:line="400" w:lineRule="exact"/>
              <w:rPr>
                <w:rFonts w:hint="eastAsia" w:ascii="宋体" w:hAnsi="宋体" w:eastAsia="宋体" w:cs="宋体"/>
                <w:color w:val="auto"/>
                <w:sz w:val="24"/>
                <w:szCs w:val="24"/>
                <w:highlight w:val="none"/>
              </w:rPr>
            </w:pPr>
            <w:bookmarkStart w:id="49" w:name="EBae5f7aedb64a412e82111b06914703e5"/>
            <w:r>
              <w:rPr>
                <w:rFonts w:hint="eastAsia" w:ascii="宋体" w:hAnsi="宋体" w:eastAsia="宋体" w:cs="宋体"/>
                <w:color w:val="auto"/>
                <w:sz w:val="24"/>
                <w:szCs w:val="24"/>
                <w:highlight w:val="none"/>
              </w:rPr>
              <w:t>☑得分相同的，按投标报价由低到高顺序排列。得分且投标报价相同的，按技术指标优劣顺序排列。□随机抽取的方式。</w:t>
            </w:r>
            <w:bookmarkEnd w:id="49"/>
          </w:p>
        </w:tc>
      </w:tr>
      <w:tr w14:paraId="699C18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51C02697">
            <w:pPr>
              <w:adjustRightInd w:val="0"/>
              <w:snapToGrid w:val="0"/>
              <w:spacing w:before="156" w:beforeLines="5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七、合同签订</w:t>
            </w:r>
          </w:p>
        </w:tc>
      </w:tr>
      <w:tr w14:paraId="7DF044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7FC678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第33.1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0896D4DA">
            <w:pPr>
              <w:adjustRightInd w:val="0"/>
              <w:snapToGrid w:val="0"/>
              <w:spacing w:before="156" w:beforeLines="5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w:t>
            </w:r>
          </w:p>
        </w:tc>
        <w:tc>
          <w:tcPr>
            <w:tcW w:w="7266" w:type="dxa"/>
            <w:noWrap w:val="0"/>
            <w:vAlign w:val="center"/>
          </w:tcPr>
          <w:p w14:paraId="45E59252">
            <w:pPr>
              <w:adjustRightInd w:val="0"/>
              <w:snapToGrid w:val="0"/>
              <w:spacing w:before="156" w:beforeLines="5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根据《关于进一步优化营商环境促进政府采购提速增效相关事项的通知》要求，为进一步降低交易成本费用，减轻企业资金负担，取消政府采购项目的履约保证金。</w:t>
            </w:r>
          </w:p>
        </w:tc>
      </w:tr>
      <w:tr w14:paraId="299D5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47DCA7A1">
            <w:pPr>
              <w:adjustRightInd w:val="0"/>
              <w:snapToGrid w:val="0"/>
              <w:spacing w:before="156" w:beforeLines="5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八、其他规定</w:t>
            </w:r>
          </w:p>
        </w:tc>
      </w:tr>
      <w:tr w14:paraId="1C1FF5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398F5D7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第37.1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42E63C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招标代理服务费</w:t>
            </w:r>
          </w:p>
        </w:tc>
        <w:tc>
          <w:tcPr>
            <w:tcW w:w="7266" w:type="dxa"/>
            <w:noWrap w:val="0"/>
            <w:vAlign w:val="center"/>
          </w:tcPr>
          <w:p w14:paraId="003F4B22">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招标代理服务费：</w:t>
            </w:r>
            <w:r>
              <w:rPr>
                <w:rFonts w:hint="eastAsia" w:ascii="宋体" w:hAnsi="宋体" w:eastAsia="宋体" w:cs="宋体"/>
                <w:color w:val="auto"/>
                <w:sz w:val="24"/>
                <w:szCs w:val="24"/>
                <w:highlight w:val="none"/>
                <w:lang w:val="en-US" w:eastAsia="zh-CN"/>
              </w:rPr>
              <w:t>80000.00</w:t>
            </w:r>
            <w:r>
              <w:rPr>
                <w:rFonts w:hint="eastAsia" w:ascii="宋体" w:hAnsi="宋体" w:eastAsia="宋体" w:cs="宋体"/>
                <w:color w:val="auto"/>
                <w:sz w:val="24"/>
                <w:szCs w:val="24"/>
                <w:highlight w:val="none"/>
              </w:rPr>
              <w:t>元，由中标人向代理机构支付。</w:t>
            </w:r>
          </w:p>
        </w:tc>
      </w:tr>
      <w:tr w14:paraId="6ABF9D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4C2C60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第38.1</w:t>
            </w:r>
            <w:r>
              <w:rPr>
                <w:rFonts w:hint="eastAsia" w:ascii="宋体" w:hAnsi="宋体" w:eastAsia="宋体" w:cs="宋体"/>
                <w:color w:val="auto"/>
                <w:kern w:val="0"/>
                <w:sz w:val="24"/>
                <w:szCs w:val="24"/>
                <w:highlight w:val="none"/>
                <w:lang w:val="zh-CN"/>
              </w:rPr>
              <w:t>款</w:t>
            </w:r>
          </w:p>
        </w:tc>
        <w:tc>
          <w:tcPr>
            <w:tcW w:w="2268" w:type="dxa"/>
            <w:noWrap w:val="0"/>
            <w:vAlign w:val="center"/>
          </w:tcPr>
          <w:p w14:paraId="64C3D77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其他规定</w:t>
            </w:r>
          </w:p>
        </w:tc>
        <w:tc>
          <w:tcPr>
            <w:tcW w:w="7266" w:type="dxa"/>
            <w:noWrap w:val="0"/>
            <w:vAlign w:val="center"/>
          </w:tcPr>
          <w:p w14:paraId="68B508B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修改招标采购文件范本及明确事项的通知（三）》长采管[2016]12号要求，对列入失信被执行人、重大税收违法案件当事人名单、政府采购严重违法失信行为记录名单及其他不符合《中华人民共和国政府采购法》第二十二条规定条件的供应商，应当拒绝其参与政府采购活动。</w:t>
            </w:r>
          </w:p>
          <w:p w14:paraId="7490C25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03FC7D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1、信用信息查询的查询渠道：信用中国网站（www.creditchina.gov.cn）、中国政府采购网（www.ccgp.gov.cn）。</w:t>
            </w:r>
          </w:p>
          <w:p w14:paraId="58FAB3C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2、信用信息查询的截止时点：至本项目投标截止时间止。</w:t>
            </w:r>
          </w:p>
          <w:p w14:paraId="523373F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3、信用信息查询记录的具体方式：由采购人或采购代理机构在规定的查询渠道进行查询。</w:t>
            </w:r>
          </w:p>
          <w:p w14:paraId="4ABC64B1">
            <w:pP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4、信用信息查询记录证据留存的具体方式：查询记录的网上打印件。</w:t>
            </w:r>
          </w:p>
          <w:p w14:paraId="27971DFF">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5、信用信息的使用规则：留存备查。</w:t>
            </w:r>
          </w:p>
        </w:tc>
      </w:tr>
    </w:tbl>
    <w:p w14:paraId="69C4609D">
      <w:pPr>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b/>
          <w:color w:val="auto"/>
          <w:szCs w:val="21"/>
          <w:highlight w:val="none"/>
        </w:rPr>
        <w:br w:type="page"/>
      </w:r>
      <w:bookmarkStart w:id="50" w:name="EBe00583ae54364b8585c71967422b4a17"/>
      <w:r>
        <w:rPr>
          <w:rFonts w:hint="eastAsia" w:ascii="宋体" w:hAnsi="宋体" w:eastAsia="宋体" w:cs="宋体"/>
          <w:b/>
          <w:color w:val="auto"/>
          <w:sz w:val="20"/>
          <w:szCs w:val="21"/>
          <w:highlight w:val="none"/>
        </w:rPr>
        <w:t xml:space="preserve"> </w:t>
      </w:r>
      <w:bookmarkEnd w:id="50"/>
      <w:r>
        <w:rPr>
          <w:rFonts w:hint="eastAsia" w:ascii="宋体" w:hAnsi="宋体" w:eastAsia="宋体" w:cs="宋体"/>
          <w:color w:val="auto"/>
          <w:kern w:val="0"/>
          <w:szCs w:val="21"/>
          <w:highlight w:val="none"/>
        </w:rPr>
        <w:t>附页2-1</w:t>
      </w:r>
    </w:p>
    <w:p w14:paraId="3831F9E6">
      <w:pPr>
        <w:spacing w:line="360" w:lineRule="exact"/>
        <w:ind w:right="-58"/>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长沙市公共资源交易事前信用承诺书</w:t>
      </w:r>
    </w:p>
    <w:p w14:paraId="54460E5E">
      <w:pPr>
        <w:spacing w:line="560" w:lineRule="exact"/>
        <w:ind w:right="-58" w:firstLine="843" w:firstLineChars="300"/>
        <w:rPr>
          <w:rFonts w:hint="eastAsia" w:ascii="宋体" w:hAnsi="宋体" w:eastAsia="宋体" w:cs="宋体"/>
          <w:color w:val="auto"/>
          <w:kern w:val="0"/>
          <w:sz w:val="32"/>
          <w:szCs w:val="32"/>
          <w:highlight w:val="none"/>
        </w:rPr>
      </w:pPr>
      <w:r>
        <w:rPr>
          <w:rFonts w:hint="eastAsia" w:ascii="宋体" w:hAnsi="宋体" w:eastAsia="宋体" w:cs="宋体"/>
          <w:b/>
          <w:color w:val="auto"/>
          <w:sz w:val="28"/>
          <w:szCs w:val="28"/>
          <w:highlight w:val="none"/>
        </w:rPr>
        <w:t>（投标人、供应商、竞买人、受让人等交易主体适用范本）</w:t>
      </w:r>
    </w:p>
    <w:p w14:paraId="590CDE4D">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为推进社会信用体系建设，营造诚实守信的公共资源交易环境，树立诚信守法、公平竞争的交易形象，本人作为</w:t>
      </w:r>
      <w:r>
        <w:rPr>
          <w:rFonts w:hint="eastAsia" w:ascii="宋体" w:hAnsi="宋体" w:eastAsia="宋体" w:cs="宋体"/>
          <w:color w:val="auto"/>
          <w:kern w:val="0"/>
          <w:sz w:val="24"/>
          <w:szCs w:val="24"/>
          <w:highlight w:val="none"/>
          <w:u w:val="single"/>
        </w:rPr>
        <w:t xml:space="preserve">               （单位名称）</w:t>
      </w:r>
      <w:r>
        <w:rPr>
          <w:rFonts w:hint="eastAsia" w:ascii="宋体" w:hAnsi="宋体" w:eastAsia="宋体" w:cs="宋体"/>
          <w:color w:val="auto"/>
          <w:kern w:val="0"/>
          <w:sz w:val="24"/>
          <w:szCs w:val="24"/>
          <w:highlight w:val="none"/>
        </w:rPr>
        <w:t>的法定代表人代表本单位作出以下诚信承诺：</w:t>
      </w:r>
    </w:p>
    <w:p w14:paraId="2056D8DF">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（一）本单位填报或提交的单位基本信息、单位负责人、项目负责人、技术负责人、从业资质和资格、业绩、财务状况、信誉等所有资料和信息，均合法、真实、准确、有效，无任何伪造、篡改、虚假成份。</w:t>
      </w:r>
    </w:p>
    <w:p w14:paraId="59CA13AD">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（二）严格依照国家、湖南省和长沙市关于公共资源交易的法律、法规、规章、规范性文件，参加公共资源交易活动；积极履行社会责任，促进廉政建设。</w:t>
      </w:r>
    </w:p>
    <w:p w14:paraId="11557659">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（三）严格遵守长沙市公共资源交易市场主体信息公示规定，及时维护和更新公共资源交易市场主体信息库中信息。</w:t>
      </w:r>
    </w:p>
    <w:p w14:paraId="0DF24DB5">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参与公共资源交易活动系本单位自愿行为。保证无组织或参与围标、串标、出卖（借）、转让资质证书或接受他人挂靠投标、以他人名义参与竞争或以其他方式弄虚作假骗取中标（成交）、恶意报价、恶意投诉等违法违规行为。</w:t>
      </w:r>
    </w:p>
    <w:p w14:paraId="77D5FCAD">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（五）守合同、重信用，加强单位诚信建设。保证无恶意提高造价、违约毁约等行为。自觉维护公共资源交易良好秩序，自觉接受行政监督部门、纪检监察机关、行业组织、社会公众、新闻舆论的监督。</w:t>
      </w:r>
    </w:p>
    <w:p w14:paraId="526B383D">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六）本单位自愿接受公共资源交易监督管理机构和有关行政监督部门的依法检查。如发生违法违规或不良行为，自愿接受有关行政监督部门依法给予的行政处罚（处理），执行诚信不良行为记录联合惩戒措施，触犯法律的，依法承担法律责任。</w:t>
      </w:r>
    </w:p>
    <w:p w14:paraId="2E781B27">
      <w:pPr>
        <w:widowControl/>
        <w:spacing w:line="56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（七）本人郑重作出上述承诺。本人和单位员工均已熟悉诚信承诺内容并认真践行承诺。</w:t>
      </w:r>
    </w:p>
    <w:p w14:paraId="473DEE07">
      <w:pPr>
        <w:widowControl/>
        <w:spacing w:line="560" w:lineRule="exact"/>
        <w:ind w:right="-57" w:firstLine="6960" w:firstLineChars="29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法定代表人签名：</w:t>
      </w:r>
    </w:p>
    <w:p w14:paraId="17795CBB">
      <w:pPr>
        <w:widowControl/>
        <w:spacing w:line="560" w:lineRule="exact"/>
        <w:ind w:right="-57" w:firstLine="6960" w:firstLineChars="29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单位名称（盖章）：</w:t>
      </w:r>
    </w:p>
    <w:p w14:paraId="5FE9006D">
      <w:pPr>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color w:val="auto"/>
          <w:kern w:val="0"/>
          <w:sz w:val="24"/>
          <w:szCs w:val="24"/>
          <w:highlight w:val="none"/>
        </w:rPr>
        <w:t xml:space="preserve">                                                               年    月    日</w:t>
      </w:r>
    </w:p>
    <w:p w14:paraId="5E7C050F">
      <w:pPr>
        <w:adjustRightInd w:val="0"/>
        <w:snapToGrid w:val="0"/>
        <w:spacing w:line="360" w:lineRule="auto"/>
        <w:jc w:val="right"/>
        <w:rPr>
          <w:rFonts w:hint="eastAsia" w:ascii="宋体" w:hAnsi="宋体" w:eastAsia="宋体" w:cs="宋体"/>
          <w:bCs/>
          <w:color w:val="auto"/>
          <w:szCs w:val="21"/>
          <w:highlight w:val="none"/>
        </w:rPr>
      </w:pPr>
    </w:p>
    <w:p w14:paraId="74AE4435">
      <w:pPr>
        <w:jc w:val="center"/>
        <w:rPr>
          <w:rFonts w:hint="eastAsia" w:ascii="宋体" w:hAnsi="宋体" w:eastAsia="宋体" w:cs="宋体"/>
          <w:b/>
          <w:color w:val="auto"/>
          <w:sz w:val="28"/>
          <w:szCs w:val="28"/>
          <w:highlight w:val="none"/>
        </w:rPr>
      </w:pPr>
      <w:r>
        <w:rPr>
          <w:rFonts w:hint="eastAsia" w:ascii="宋体" w:hAnsi="宋体" w:eastAsia="宋体" w:cs="宋体"/>
          <w:color w:val="auto"/>
          <w:highlight w:val="none"/>
        </w:rPr>
        <w:br w:type="page"/>
      </w:r>
      <w:bookmarkStart w:id="51" w:name="EB480c79b8d4aa438fa61840ae4e17671f"/>
      <w:r>
        <w:rPr>
          <w:rFonts w:hint="eastAsia" w:ascii="宋体" w:hAnsi="宋体" w:eastAsia="宋体" w:cs="宋体"/>
          <w:color w:val="auto"/>
          <w:sz w:val="20"/>
          <w:highlight w:val="none"/>
        </w:rPr>
        <w:t xml:space="preserve"> </w:t>
      </w:r>
      <w:bookmarkEnd w:id="51"/>
      <w:bookmarkStart w:id="52" w:name="EB25d50fc7996c44aa88d5b12e9a64a8c6"/>
      <w:r>
        <w:rPr>
          <w:rFonts w:hint="eastAsia" w:ascii="宋体" w:hAnsi="宋体" w:eastAsia="宋体" w:cs="宋体"/>
          <w:color w:val="auto"/>
          <w:sz w:val="20"/>
          <w:highlight w:val="none"/>
        </w:rPr>
        <w:t xml:space="preserve"> </w:t>
      </w:r>
      <w:bookmarkEnd w:id="52"/>
      <w:bookmarkStart w:id="53" w:name="_Toc966141"/>
      <w:bookmarkStart w:id="54" w:name="_Toc6242757"/>
      <w:r>
        <w:rPr>
          <w:rFonts w:hint="eastAsia" w:ascii="宋体" w:hAnsi="宋体" w:eastAsia="宋体" w:cs="宋体"/>
          <w:b/>
          <w:color w:val="auto"/>
          <w:sz w:val="28"/>
          <w:szCs w:val="28"/>
          <w:highlight w:val="none"/>
        </w:rPr>
        <w:t>正文</w:t>
      </w:r>
      <w:bookmarkEnd w:id="53"/>
      <w:bookmarkEnd w:id="54"/>
    </w:p>
    <w:p w14:paraId="4A1EB2FF">
      <w:pPr>
        <w:pStyle w:val="7"/>
        <w:spacing w:before="0" w:after="0" w:line="440" w:lineRule="exact"/>
        <w:rPr>
          <w:rFonts w:hint="eastAsia" w:ascii="宋体" w:hAnsi="宋体" w:eastAsia="宋体" w:cs="宋体"/>
          <w:b w:val="0"/>
          <w:color w:val="auto"/>
          <w:sz w:val="24"/>
          <w:szCs w:val="24"/>
          <w:highlight w:val="none"/>
        </w:rPr>
      </w:pPr>
      <w:bookmarkStart w:id="55" w:name="_Toc129095608"/>
      <w:bookmarkStart w:id="56" w:name="_Toc6242758"/>
      <w:bookmarkStart w:id="57" w:name="_Toc129095503"/>
      <w:bookmarkStart w:id="58" w:name="_Toc966142"/>
      <w:r>
        <w:rPr>
          <w:rFonts w:hint="eastAsia" w:ascii="宋体" w:hAnsi="宋体" w:eastAsia="宋体" w:cs="宋体"/>
          <w:color w:val="auto"/>
          <w:sz w:val="24"/>
          <w:szCs w:val="24"/>
          <w:highlight w:val="none"/>
        </w:rPr>
        <w:t>一、总则</w:t>
      </w:r>
      <w:bookmarkEnd w:id="55"/>
      <w:bookmarkEnd w:id="56"/>
      <w:bookmarkEnd w:id="57"/>
      <w:bookmarkEnd w:id="58"/>
    </w:p>
    <w:p w14:paraId="6125541D">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1.适用范围</w:t>
      </w:r>
    </w:p>
    <w:p w14:paraId="7ED8F175">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1.1本招标文件仅适用于本章“投标须知前附表”（以下简称</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）中所叙述的采购项目。</w:t>
      </w:r>
    </w:p>
    <w:p w14:paraId="541F0237">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2.定义</w:t>
      </w:r>
    </w:p>
    <w:p w14:paraId="0C530CB5">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2.1采购人名称、地址、电话、联系人见</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w:t>
      </w:r>
    </w:p>
    <w:p w14:paraId="1C32DC9F">
      <w:pPr>
        <w:adjustRightInd w:val="0"/>
        <w:snapToGrid w:val="0"/>
        <w:spacing w:line="4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2.2采购代理机构名称、地址、电话、联系人见</w:t>
      </w:r>
      <w:r>
        <w:rPr>
          <w:rFonts w:hint="eastAsia" w:ascii="宋体" w:hAnsi="宋体" w:eastAsia="宋体" w:cs="宋体"/>
          <w:b/>
          <w:color w:val="auto"/>
          <w:sz w:val="24"/>
          <w:szCs w:val="24"/>
          <w:highlight w:val="none"/>
        </w:rPr>
        <w:t>【投标须知前附表】。</w:t>
      </w:r>
    </w:p>
    <w:p w14:paraId="78729FBB">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2.3投标人系指响应招标、参加投标竞争的法人、其他组织或自然人。</w:t>
      </w:r>
    </w:p>
    <w:p w14:paraId="64AA1E72">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3.投标人的资格要求</w:t>
      </w:r>
    </w:p>
    <w:p w14:paraId="08CA295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3.1投标人应当符合</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中规定的投标人基本资格条件和特定资格条件。</w:t>
      </w:r>
    </w:p>
    <w:p w14:paraId="4170848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3.2本章第3.1款规定接受联合体形式投标的，投标人除应符合本章第3.1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 xml:space="preserve">规定外，还应遵守以下规定： </w:t>
      </w:r>
    </w:p>
    <w:p w14:paraId="468F075F">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（l）联合体中有同类资质的投标人按照联合体分工承担相同工作的，应当按照</w:t>
      </w:r>
      <w:r>
        <w:rPr>
          <w:rFonts w:hint="eastAsia" w:ascii="宋体" w:hAnsi="宋体" w:eastAsia="宋体" w:cs="宋体"/>
          <w:color w:val="auto"/>
          <w:sz w:val="24"/>
          <w:szCs w:val="24"/>
          <w:highlight w:val="none"/>
          <w:lang w:eastAsia="zh-CN"/>
        </w:rPr>
        <w:t>资质等级</w:t>
      </w:r>
      <w:r>
        <w:rPr>
          <w:rFonts w:hint="eastAsia" w:ascii="宋体" w:hAnsi="宋体" w:eastAsia="宋体" w:cs="宋体"/>
          <w:color w:val="auto"/>
          <w:sz w:val="24"/>
          <w:szCs w:val="24"/>
          <w:highlight w:val="none"/>
        </w:rPr>
        <w:t>较低的投标人确定</w:t>
      </w:r>
      <w:r>
        <w:rPr>
          <w:rFonts w:hint="eastAsia" w:ascii="宋体" w:hAnsi="宋体" w:eastAsia="宋体" w:cs="宋体"/>
          <w:color w:val="auto"/>
          <w:sz w:val="24"/>
          <w:szCs w:val="24"/>
          <w:highlight w:val="none"/>
          <w:lang w:eastAsia="zh-CN"/>
        </w:rPr>
        <w:t>资质等级</w:t>
      </w:r>
      <w:r>
        <w:rPr>
          <w:rFonts w:hint="eastAsia" w:ascii="宋体" w:hAnsi="宋体" w:eastAsia="宋体" w:cs="宋体"/>
          <w:color w:val="auto"/>
          <w:sz w:val="24"/>
          <w:szCs w:val="24"/>
          <w:highlight w:val="none"/>
        </w:rPr>
        <w:t>。</w:t>
      </w:r>
    </w:p>
    <w:p w14:paraId="43383937">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（2）联合体各方应按招标文件提供的格式签订联合体协议书，明确联合体牵头人和各方的权利义务、合同工作量比例，以及合同款项支付具体规定。</w:t>
      </w:r>
    </w:p>
    <w:p w14:paraId="044D39E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（3）联合体各方签订联合体协议书后，不得再单独参加或者与其他投标人组成新的联合体参加同一项目的采购活动。</w:t>
      </w:r>
    </w:p>
    <w:p w14:paraId="56892C35">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3.3投标人不得存在下列情形之一：</w:t>
      </w:r>
    </w:p>
    <w:p w14:paraId="722F439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（l）与采购人、采购代理机构存在</w:t>
      </w:r>
      <w:r>
        <w:rPr>
          <w:rFonts w:hint="eastAsia" w:ascii="宋体" w:hAnsi="宋体" w:eastAsia="宋体" w:cs="宋体"/>
          <w:bCs/>
          <w:color w:val="auto"/>
          <w:sz w:val="24"/>
          <w:szCs w:val="24"/>
          <w:highlight w:val="none"/>
        </w:rPr>
        <w:t>隶属关系或者其他利害关系</w:t>
      </w:r>
      <w:r>
        <w:rPr>
          <w:rFonts w:hint="eastAsia" w:ascii="宋体" w:hAnsi="宋体" w:eastAsia="宋体" w:cs="宋体"/>
          <w:color w:val="auto"/>
          <w:sz w:val="24"/>
          <w:szCs w:val="24"/>
          <w:highlight w:val="none"/>
        </w:rPr>
        <w:t>。</w:t>
      </w:r>
    </w:p>
    <w:p w14:paraId="007F9A16">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（2）单位负责人为同一人或者存在直接控股、管理关系的不同投标人，不得参加同一合同项下的采购活动。</w:t>
      </w:r>
    </w:p>
    <w:p w14:paraId="01A8E91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（3）为采购项目提供整体设计、规范编制或者项目管理、监理、检测等服务的投标人，不得再参加该采购项目的其他采购活动。</w:t>
      </w:r>
    </w:p>
    <w:p w14:paraId="3960979D">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列入失信被执行人、重大税收违法案件当事人名单、采购严重违法失信行为记录名单及其他不符合《中华人民共和国政府采购法》第二十二条规定条件（联合体形式投标的，联合体成员存在不良信用记录，视同联合体存在不良信用记录）。</w:t>
      </w:r>
    </w:p>
    <w:p w14:paraId="6B44FC34">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4.投标费用 </w:t>
      </w:r>
    </w:p>
    <w:p w14:paraId="48B144D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4.1投标人应自行承担所有参与投标的相关费用，不论投标的结果如何，采购人或者采购代理机构均无义务和责任承担这些费用。</w:t>
      </w:r>
    </w:p>
    <w:p w14:paraId="5F9B519E">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5.</w:t>
      </w:r>
      <w:r>
        <w:rPr>
          <w:rFonts w:hint="eastAsia" w:ascii="宋体" w:hAnsi="宋体" w:eastAsia="宋体" w:cs="宋体"/>
          <w:b/>
          <w:color w:val="auto"/>
          <w:sz w:val="24"/>
          <w:szCs w:val="24"/>
          <w:highlight w:val="none"/>
        </w:rPr>
        <w:t>保密</w:t>
      </w:r>
    </w:p>
    <w:p w14:paraId="28099D4D">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5.1参与招标投标活动的各方应对招标文件和投标文件中的商业和技术等秘密保密，违者应对由此造成的后果承担法律责任。</w:t>
      </w:r>
    </w:p>
    <w:p w14:paraId="556F37FE">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6.</w:t>
      </w:r>
      <w:r>
        <w:rPr>
          <w:rFonts w:hint="eastAsia" w:ascii="宋体" w:hAnsi="宋体" w:eastAsia="宋体" w:cs="宋体"/>
          <w:b/>
          <w:color w:val="auto"/>
          <w:sz w:val="24"/>
          <w:szCs w:val="24"/>
          <w:highlight w:val="none"/>
        </w:rPr>
        <w:t>组织现场考察或者召开答疑会</w:t>
      </w:r>
    </w:p>
    <w:p w14:paraId="4AA64320">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6.1采购人或者采购代理机构组织现场考察或者召开开标前答疑会的，获取招标文件的潜在投标人应按【投标须知前附表】规定参加现场考察或者答疑会；如不参加，其风险由其自行承担。</w:t>
      </w:r>
    </w:p>
    <w:p w14:paraId="11951ED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采购人或者采购代理机构召开开标前答疑会的，获取招标文件的潜在投标人应按【投标须知前附表】规定的时间，以书面形式将提出的问题送达采购代理机构，以便采购人或者采购代理机构在会议期间澄清。答疑会后，对投标人所提问题的澄清，采购代理机构将按本章第10.1款或第10.2款相应规定办理。</w:t>
      </w:r>
    </w:p>
    <w:p w14:paraId="7A45CB46">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6.3潜在投标人现场考察或者参加答疑会的费用由自己承担，现场考察期间所发生的人身伤害及财产损失由自己负责。</w:t>
      </w:r>
    </w:p>
    <w:p w14:paraId="5DFAC33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6.4采购人或者采购代理机构不对投标人据此而做出的推论、理解和结论负责。投标人一旦中标，不得以任何借口，提出额外补偿，或延长合同期限的要求。</w:t>
      </w:r>
    </w:p>
    <w:p w14:paraId="10DD3A94">
      <w:pPr>
        <w:spacing w:line="440" w:lineRule="exact"/>
        <w:rPr>
          <w:rFonts w:hint="eastAsia" w:ascii="宋体" w:hAnsi="宋体" w:eastAsia="宋体" w:cs="宋体"/>
          <w:color w:val="auto"/>
          <w:sz w:val="24"/>
          <w:szCs w:val="24"/>
          <w:highlight w:val="none"/>
        </w:rPr>
      </w:pPr>
      <w:bookmarkStart w:id="59" w:name="EB2d878a5b898b451ea4fadc40555ee46d"/>
      <w:r>
        <w:rPr>
          <w:rFonts w:hint="eastAsia" w:ascii="宋体" w:hAnsi="宋体" w:eastAsia="宋体" w:cs="宋体"/>
          <w:color w:val="auto"/>
          <w:sz w:val="24"/>
          <w:szCs w:val="24"/>
          <w:highlight w:val="none"/>
        </w:rPr>
        <w:t xml:space="preserve"> </w:t>
      </w:r>
      <w:bookmarkEnd w:id="59"/>
      <w:bookmarkStart w:id="60" w:name="EBe7a7d15540c14a3590369b1c8f13ca55"/>
      <w:r>
        <w:rPr>
          <w:rFonts w:hint="eastAsia" w:ascii="宋体" w:hAnsi="宋体" w:eastAsia="宋体" w:cs="宋体"/>
          <w:color w:val="auto"/>
          <w:sz w:val="24"/>
          <w:szCs w:val="24"/>
          <w:highlight w:val="none"/>
        </w:rPr>
        <w:t xml:space="preserve"> </w:t>
      </w:r>
      <w:bookmarkEnd w:id="60"/>
      <w:bookmarkStart w:id="61" w:name="EB97b678b75f164380bbd0f9105f0cb245"/>
      <w:r>
        <w:rPr>
          <w:rFonts w:hint="eastAsia" w:ascii="宋体" w:hAnsi="宋体" w:eastAsia="宋体" w:cs="宋体"/>
          <w:color w:val="auto"/>
          <w:sz w:val="24"/>
          <w:szCs w:val="24"/>
          <w:highlight w:val="none"/>
        </w:rPr>
        <w:t xml:space="preserve"> </w:t>
      </w:r>
      <w:bookmarkEnd w:id="61"/>
    </w:p>
    <w:p w14:paraId="215FC43D">
      <w:pPr>
        <w:pStyle w:val="7"/>
        <w:spacing w:before="0" w:after="0" w:line="440" w:lineRule="exact"/>
        <w:rPr>
          <w:rFonts w:hint="eastAsia" w:ascii="宋体" w:hAnsi="宋体" w:eastAsia="宋体" w:cs="宋体"/>
          <w:color w:val="auto"/>
          <w:sz w:val="24"/>
          <w:szCs w:val="24"/>
          <w:highlight w:val="none"/>
        </w:rPr>
      </w:pPr>
      <w:bookmarkStart w:id="62" w:name="_Toc6242759"/>
      <w:bookmarkStart w:id="63" w:name="_Toc129095609"/>
      <w:bookmarkStart w:id="64" w:name="_Toc129095504"/>
      <w:bookmarkStart w:id="65" w:name="_Toc966143"/>
      <w:r>
        <w:rPr>
          <w:rFonts w:hint="eastAsia" w:ascii="宋体" w:hAnsi="宋体" w:eastAsia="宋体" w:cs="宋体"/>
          <w:color w:val="auto"/>
          <w:sz w:val="24"/>
          <w:szCs w:val="24"/>
          <w:highlight w:val="none"/>
        </w:rPr>
        <w:t>二、招标文件</w:t>
      </w:r>
      <w:bookmarkEnd w:id="62"/>
      <w:bookmarkEnd w:id="63"/>
      <w:bookmarkEnd w:id="64"/>
      <w:bookmarkEnd w:id="65"/>
    </w:p>
    <w:p w14:paraId="16F9E6D8">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7.招标文件的构成</w:t>
      </w:r>
    </w:p>
    <w:p w14:paraId="64EB2CC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招标文件共六章，各章内容如下：</w:t>
      </w:r>
    </w:p>
    <w:p w14:paraId="2F8D882F">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投标邀请</w:t>
      </w:r>
    </w:p>
    <w:p w14:paraId="1E786CE6">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投标须知</w:t>
      </w:r>
    </w:p>
    <w:p w14:paraId="75035111">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评标方法及标准</w:t>
      </w:r>
    </w:p>
    <w:p w14:paraId="05473EFF">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技术规格、参数及要求</w:t>
      </w:r>
    </w:p>
    <w:p w14:paraId="65B35024">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政府采购合同</w:t>
      </w:r>
    </w:p>
    <w:p w14:paraId="420C1E7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第六章 投标文件的组成</w:t>
      </w:r>
    </w:p>
    <w:p w14:paraId="3B365EAB">
      <w:pPr>
        <w:adjustRightInd w:val="0"/>
        <w:snapToGrid w:val="0"/>
        <w:spacing w:line="4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7.2本章第10.1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对招标文件所作的澄清或者修改，构成招标文件的组成部分。</w:t>
      </w:r>
    </w:p>
    <w:p w14:paraId="0BBFCA20">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7.3采购项目需要公开的有关信息，包括招标公告、招标文件澄清或修改公告、中标结果公告等通知，采购代理机构将通过</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指定媒体公开发布，</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指定媒体信息发布内容存在差异的，以湖南省公共资源交易服务平台发布的公告为准。投标人在参与本采购项目招投标活动期间，请及时关注指定媒体的相关信息，投标人因没有及时关注而未能如期获取相关信息，是投标人的风险，采购人或者采购代理机构对此不承担任何责任。</w:t>
      </w:r>
    </w:p>
    <w:p w14:paraId="59F2DA1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7.4招标公告的公告期限为5个工作日。公告期限自湖南省公共资源交易服务平台最先发布公告之日起算。</w:t>
      </w:r>
    </w:p>
    <w:p w14:paraId="0B1B2CF2">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7.5投标人应仔细阅读招标文件的全部内容，按照招标文件要求编制投标文件。任何对招标文件的忽略或误解不能作为投标文件存在缺陷或瑕疵的理由，其风险由投标人承担。</w:t>
      </w:r>
    </w:p>
    <w:p w14:paraId="65FF6FC9">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8.</w:t>
      </w:r>
      <w:r>
        <w:rPr>
          <w:rFonts w:hint="eastAsia" w:ascii="宋体" w:hAnsi="宋体" w:eastAsia="宋体" w:cs="宋体"/>
          <w:b/>
          <w:color w:val="auto"/>
          <w:sz w:val="24"/>
          <w:szCs w:val="24"/>
          <w:highlight w:val="none"/>
        </w:rPr>
        <w:t>偏离与实质性响应</w:t>
      </w:r>
    </w:p>
    <w:p w14:paraId="256B1354">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8.1除</w:t>
      </w: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和规章规定外，招标文件中用“★”符号标明的条款为实质性要求和条件，对其中任何一条的偏离，在评标时将其视为投标无效。</w:t>
      </w:r>
    </w:p>
    <w:p w14:paraId="28228255">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8.2投标文件偏离招标文件的非实质性要求和条件，在超出允许偏离的最多项数（条款数之和）或范围时，在评标时将其视为投标无效。非实质性要求条款允许偏离的最多项数或范围见【投标须知前附表】。</w:t>
      </w:r>
    </w:p>
    <w:p w14:paraId="503B24AF">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9.招标文件的获取</w:t>
      </w:r>
    </w:p>
    <w:p w14:paraId="5AAF8DC0">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9.1招标文件提供期限自开始发出之日起不少于五个工作日。</w:t>
      </w:r>
    </w:p>
    <w:p w14:paraId="25595B6A">
      <w:pPr>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9.2凡符合资格要求并有意参加投标的投标人，</w:t>
      </w:r>
      <w:r>
        <w:rPr>
          <w:rFonts w:hint="eastAsia" w:ascii="宋体" w:hAnsi="宋体" w:eastAsia="宋体" w:cs="宋体"/>
          <w:color w:val="auto"/>
          <w:sz w:val="24"/>
          <w:szCs w:val="24"/>
          <w:highlight w:val="none"/>
        </w:rPr>
        <w:t xml:space="preserve"> 登录</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指定的信息公告媒体免费下载招标文件，指定的媒体名称见</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，代理机构不再收取任何招标文件费用。</w:t>
      </w:r>
    </w:p>
    <w:p w14:paraId="136BA7F0">
      <w:pPr>
        <w:pStyle w:val="17"/>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9.3各投标人自行在</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指定的网站下载或查阅招标相关文件和资料等，恕不另行通知，如有遗漏采购人、代理机构概不负责。</w:t>
      </w:r>
    </w:p>
    <w:p w14:paraId="568A10FA">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10.招标文件的澄清或者修改</w:t>
      </w:r>
    </w:p>
    <w:p w14:paraId="5E3CCFD2">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10.1采购人或采购代理机构可以对已发出的招标文件进行必要澄清或者修改，澄清或者修改应在招标文件指定的媒体上发布澄清或者修改公告，澄清或者修改的内容为招标文件的组成部分。</w:t>
      </w:r>
    </w:p>
    <w:p w14:paraId="5AA8B716">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 澄清或者修改的内容可能影响投标文件编制的，采购代理机构将在【</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】规定的提交投标文件截止时间15日前，以公告形式通知所有获取招标文件的潜在投标人；不足15日的，将相应延长提交投标文件的截止时间。</w:t>
      </w:r>
    </w:p>
    <w:p w14:paraId="5AF97103">
      <w:pPr>
        <w:spacing w:line="440" w:lineRule="exact"/>
        <w:rPr>
          <w:rFonts w:hint="eastAsia" w:ascii="宋体" w:hAnsi="宋体" w:eastAsia="宋体" w:cs="宋体"/>
          <w:color w:val="auto"/>
          <w:sz w:val="24"/>
          <w:szCs w:val="24"/>
          <w:highlight w:val="none"/>
        </w:rPr>
      </w:pPr>
      <w:bookmarkStart w:id="66" w:name="EB1580a586de6b4500b918f3c482dd6cd4"/>
      <w:r>
        <w:rPr>
          <w:rFonts w:hint="eastAsia" w:ascii="宋体" w:hAnsi="宋体" w:eastAsia="宋体" w:cs="宋体"/>
          <w:color w:val="auto"/>
          <w:sz w:val="24"/>
          <w:szCs w:val="24"/>
          <w:highlight w:val="none"/>
        </w:rPr>
        <w:t xml:space="preserve"> </w:t>
      </w:r>
      <w:bookmarkEnd w:id="66"/>
      <w:bookmarkStart w:id="67" w:name="EB46aaf30e1cfd410fb2cc4daa7283a7d7"/>
      <w:r>
        <w:rPr>
          <w:rFonts w:hint="eastAsia" w:ascii="宋体" w:hAnsi="宋体" w:eastAsia="宋体" w:cs="宋体"/>
          <w:color w:val="auto"/>
          <w:sz w:val="24"/>
          <w:szCs w:val="24"/>
          <w:highlight w:val="none"/>
        </w:rPr>
        <w:t xml:space="preserve"> </w:t>
      </w:r>
      <w:bookmarkEnd w:id="67"/>
      <w:bookmarkStart w:id="68" w:name="EBb94613900938423fb701817d8a8c32fc"/>
      <w:r>
        <w:rPr>
          <w:rFonts w:hint="eastAsia" w:ascii="宋体" w:hAnsi="宋体" w:eastAsia="宋体" w:cs="宋体"/>
          <w:color w:val="auto"/>
          <w:sz w:val="24"/>
          <w:szCs w:val="24"/>
          <w:highlight w:val="none"/>
        </w:rPr>
        <w:t xml:space="preserve"> </w:t>
      </w:r>
      <w:bookmarkEnd w:id="68"/>
    </w:p>
    <w:p w14:paraId="60C0584C">
      <w:pPr>
        <w:pStyle w:val="7"/>
        <w:spacing w:before="0" w:after="0" w:line="460" w:lineRule="exact"/>
        <w:rPr>
          <w:rFonts w:hint="eastAsia" w:ascii="宋体" w:hAnsi="宋体" w:eastAsia="宋体" w:cs="宋体"/>
          <w:color w:val="auto"/>
          <w:sz w:val="24"/>
          <w:szCs w:val="24"/>
          <w:highlight w:val="none"/>
        </w:rPr>
      </w:pPr>
      <w:bookmarkStart w:id="69" w:name="_Toc6242760"/>
      <w:bookmarkStart w:id="70" w:name="_Toc966144"/>
      <w:bookmarkStart w:id="71" w:name="_Toc129095610"/>
      <w:bookmarkStart w:id="72" w:name="_Toc129095505"/>
      <w:r>
        <w:rPr>
          <w:rFonts w:hint="eastAsia" w:ascii="宋体" w:hAnsi="宋体" w:eastAsia="宋体" w:cs="宋体"/>
          <w:color w:val="auto"/>
          <w:sz w:val="24"/>
          <w:szCs w:val="24"/>
          <w:highlight w:val="none"/>
        </w:rPr>
        <w:t>三、投标文件</w:t>
      </w:r>
      <w:bookmarkEnd w:id="69"/>
      <w:bookmarkEnd w:id="70"/>
      <w:bookmarkEnd w:id="71"/>
      <w:bookmarkEnd w:id="72"/>
    </w:p>
    <w:p w14:paraId="07490C37">
      <w:pPr>
        <w:adjustRightInd w:val="0"/>
        <w:snapToGrid w:val="0"/>
        <w:spacing w:line="46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color w:val="auto"/>
          <w:sz w:val="24"/>
          <w:szCs w:val="24"/>
          <w:highlight w:val="none"/>
        </w:rPr>
        <w:t xml:space="preserve"> </w:t>
      </w:r>
      <w:r>
        <w:rPr>
          <w:rFonts w:hint="eastAsia" w:ascii="宋体" w:hAnsi="宋体" w:eastAsia="宋体" w:cs="宋体"/>
          <w:b/>
          <w:bCs/>
          <w:color w:val="auto"/>
          <w:sz w:val="24"/>
          <w:szCs w:val="24"/>
          <w:highlight w:val="none"/>
        </w:rPr>
        <w:t>投标语言</w:t>
      </w:r>
    </w:p>
    <w:p w14:paraId="058D292F">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11.1除专用术语外，投标人提交的投标文件及投标人与采购代理机构就有关投标的所有来往函电均使用中文。投标人可以提交</w:t>
      </w:r>
      <w:r>
        <w:rPr>
          <w:rFonts w:hint="eastAsia" w:ascii="宋体" w:hAnsi="宋体" w:eastAsia="宋体" w:cs="宋体"/>
          <w:color w:val="auto"/>
          <w:sz w:val="24"/>
          <w:szCs w:val="24"/>
          <w:highlight w:val="none"/>
          <w:lang w:eastAsia="zh-CN"/>
        </w:rPr>
        <w:t>其他语言</w:t>
      </w:r>
      <w:r>
        <w:rPr>
          <w:rFonts w:hint="eastAsia" w:ascii="宋体" w:hAnsi="宋体" w:eastAsia="宋体" w:cs="宋体"/>
          <w:color w:val="auto"/>
          <w:sz w:val="24"/>
          <w:szCs w:val="24"/>
          <w:highlight w:val="none"/>
        </w:rPr>
        <w:t>的资料，但应附有中文注释，有差异时以中文为准。</w:t>
      </w:r>
    </w:p>
    <w:p w14:paraId="3A2403A2">
      <w:pPr>
        <w:adjustRightInd w:val="0"/>
        <w:snapToGrid w:val="0"/>
        <w:spacing w:line="460" w:lineRule="exac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12.</w:t>
      </w:r>
      <w:r>
        <w:rPr>
          <w:rFonts w:hint="eastAsia" w:ascii="宋体" w:hAnsi="宋体" w:eastAsia="宋体" w:cs="宋体"/>
          <w:b/>
          <w:color w:val="auto"/>
          <w:sz w:val="24"/>
          <w:szCs w:val="24"/>
          <w:highlight w:val="none"/>
        </w:rPr>
        <w:t xml:space="preserve"> 计量单位</w:t>
      </w:r>
    </w:p>
    <w:p w14:paraId="3E573865">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12.1所有计量均采用中华人民共和国法定计量单位。</w:t>
      </w:r>
    </w:p>
    <w:p w14:paraId="1D0633A1">
      <w:pPr>
        <w:adjustRightInd w:val="0"/>
        <w:snapToGrid w:val="0"/>
        <w:spacing w:line="460" w:lineRule="exac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13.</w:t>
      </w:r>
      <w:r>
        <w:rPr>
          <w:rFonts w:hint="eastAsia" w:ascii="宋体" w:hAnsi="宋体" w:eastAsia="宋体" w:cs="宋体"/>
          <w:b/>
          <w:bCs/>
          <w:color w:val="auto"/>
          <w:sz w:val="24"/>
          <w:szCs w:val="24"/>
          <w:highlight w:val="none"/>
        </w:rPr>
        <w:t xml:space="preserve"> 投标文件的组成</w:t>
      </w:r>
    </w:p>
    <w:p w14:paraId="5E18ED38">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13.1投标文件由商务技术文件、资格证明文件两册组成。各册的内容如下：</w:t>
      </w:r>
    </w:p>
    <w:p w14:paraId="183429C3">
      <w:pPr>
        <w:adjustRightInd w:val="0"/>
        <w:snapToGrid w:val="0"/>
        <w:spacing w:line="46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第一册 商务技术文件</w:t>
      </w:r>
    </w:p>
    <w:p w14:paraId="48A30A2E">
      <w:pPr>
        <w:adjustRightInd w:val="0"/>
        <w:snapToGrid w:val="0"/>
        <w:spacing w:line="46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商务部分</w:t>
      </w:r>
    </w:p>
    <w:p w14:paraId="3D5C7BAA">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一、投标函</w:t>
      </w:r>
    </w:p>
    <w:p w14:paraId="08B1B31B">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二、开标一览表</w:t>
      </w:r>
    </w:p>
    <w:p w14:paraId="43916D40">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三、商务响应/偏离表</w:t>
      </w:r>
    </w:p>
    <w:p w14:paraId="18C8D7A8">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四、投标人认为需提供的其他资料</w:t>
      </w:r>
    </w:p>
    <w:p w14:paraId="188FBCE9">
      <w:pPr>
        <w:tabs>
          <w:tab w:val="left" w:pos="3315"/>
        </w:tabs>
        <w:adjustRightInd w:val="0"/>
        <w:snapToGrid w:val="0"/>
        <w:spacing w:line="46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技术部分</w:t>
      </w:r>
      <w:r>
        <w:rPr>
          <w:rFonts w:hint="eastAsia" w:ascii="宋体" w:hAnsi="宋体" w:eastAsia="宋体" w:cs="宋体"/>
          <w:b/>
          <w:color w:val="auto"/>
          <w:sz w:val="24"/>
          <w:szCs w:val="24"/>
          <w:highlight w:val="none"/>
        </w:rPr>
        <w:tab/>
      </w:r>
    </w:p>
    <w:p w14:paraId="473B2343">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五、货物说明一览表</w:t>
      </w:r>
    </w:p>
    <w:p w14:paraId="4B57B85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六、技术响应/偏离表</w:t>
      </w:r>
    </w:p>
    <w:p w14:paraId="209F3B6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七、投标货物符合招标文件规定的证明文件</w:t>
      </w:r>
    </w:p>
    <w:p w14:paraId="6EF54542">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八、投标人认为需提供的其他资料</w:t>
      </w:r>
    </w:p>
    <w:p w14:paraId="277C31D2">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第二册 资格证明文件</w:t>
      </w:r>
    </w:p>
    <w:p w14:paraId="4DB3D23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九、法定代表人身份证明</w:t>
      </w:r>
    </w:p>
    <w:p w14:paraId="2FE9EEB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十、授权委托书</w:t>
      </w:r>
    </w:p>
    <w:p w14:paraId="711748F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十一、投标人具备投标资格的证明文件</w:t>
      </w:r>
    </w:p>
    <w:p w14:paraId="37F54A3C">
      <w:pPr>
        <w:spacing w:line="44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13.2投标人应当按照招标文件的要求编制投标文件。投标文件应当对招标文件提出的要求和条件作出明确响应。</w:t>
      </w:r>
      <w:r>
        <w:rPr>
          <w:rFonts w:hint="eastAsia" w:ascii="宋体" w:hAnsi="宋体" w:eastAsia="宋体" w:cs="宋体"/>
          <w:b/>
          <w:color w:val="auto"/>
          <w:sz w:val="24"/>
          <w:szCs w:val="24"/>
          <w:highlight w:val="none"/>
        </w:rPr>
        <w:t>在投标文件目录中属于本节点内容的必须上传或填写在本节点的对应位置，未按要求填写或上传的，相应责任由投标人自行承担。</w:t>
      </w:r>
    </w:p>
    <w:p w14:paraId="7FAB417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13.3根据《政府采购法》第四十二条的规定，投标人无论中标与否，其投标文件不予退还。</w:t>
      </w:r>
    </w:p>
    <w:p w14:paraId="7E87FE6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13.4资格审查时仅查阅资格证明文件册，资格证明相关文件由于投标人疏忽未装入资格证明文件册的视同未提交。专家评标时，商务技术相关文件由于投标人疏忽未装入商务技术册的视同未提交。</w:t>
      </w:r>
    </w:p>
    <w:p w14:paraId="51C8E91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有关原件扫描件的尺寸和清晰度应该能够在电脑上被阅读、识别和判断。若投标人未按要求提供证明材料或提供的是部分证明材料或提供不清晰的原件扫描件的，评审委员会有权认定其投标文件未对招标文件有关需求进行响应，涉及资格性检查或符合性检查的予以废标处理，涉及打分项的则该项评分予以0分处理。</w:t>
      </w:r>
    </w:p>
    <w:p w14:paraId="5C1A6B6C">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14. 投标报价</w:t>
      </w:r>
    </w:p>
    <w:p w14:paraId="5A9A0FD5">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投标人应按招标文件规定的供货及服务要求、责任范围和合同条件，按</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的规定进行报价。</w:t>
      </w:r>
    </w:p>
    <w:p w14:paraId="73BA0E7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14.2投标总价中不得包含招标文件要求以外的内容。否则，在评标时不予核减。</w:t>
      </w:r>
    </w:p>
    <w:p w14:paraId="1E7549B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14.3投标人对每种货物及服务只允许有一个报价，不接受选择性报价。否则，在评标时将其视为无效投标。</w:t>
      </w:r>
    </w:p>
    <w:p w14:paraId="516A0F3F">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14.4投标人在提交投标文件的截止时间前修改投标报价的，应同时修改投标文件中相应内容。此修改应符合本章第22.1款的相关规定。</w:t>
      </w:r>
    </w:p>
    <w:p w14:paraId="2C49DB30">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14.5采购人可以在采购预算额度内合理设定最高限价。投标人的投标报价不得超过采购项目最高限价。采购项目采购预算、最高限价（如果设）见【投标须知前附表】。</w:t>
      </w:r>
    </w:p>
    <w:p w14:paraId="0F0ED474">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14.6 投标文件中标明的价格在合同执行过程中是固定不变的，不得以任何理由予以变更。任何包含价格调整要求和条件的投标，在评标时将其视为投标无效。</w:t>
      </w:r>
    </w:p>
    <w:p w14:paraId="640269BF">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 xml:space="preserve">15. </w:t>
      </w:r>
      <w:r>
        <w:rPr>
          <w:rFonts w:hint="eastAsia" w:ascii="宋体" w:hAnsi="宋体" w:eastAsia="宋体" w:cs="宋体"/>
          <w:b/>
          <w:bCs/>
          <w:color w:val="auto"/>
          <w:sz w:val="24"/>
          <w:szCs w:val="24"/>
          <w:highlight w:val="none"/>
        </w:rPr>
        <w:t>投标人的资格证明文件</w:t>
      </w:r>
    </w:p>
    <w:p w14:paraId="311DD4D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15.1投标人应提交满足本章第3.1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规定的资格条件要求的证明文件，该证明文件作为投标文件的一部分。</w:t>
      </w:r>
    </w:p>
    <w:p w14:paraId="577298E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15.2如果投标人为联合体，则应提交联合体各方资格证明文件、联合体协议。否则，在评标时将其视为无效投标。</w:t>
      </w:r>
    </w:p>
    <w:p w14:paraId="0533CA5E">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 投标货物符合招标文件规定的证明文件</w:t>
      </w:r>
    </w:p>
    <w:p w14:paraId="4A579AA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投标人应当提交其</w:t>
      </w:r>
      <w:r>
        <w:rPr>
          <w:rFonts w:hint="eastAsia" w:ascii="宋体" w:hAnsi="宋体" w:eastAsia="宋体" w:cs="宋体"/>
          <w:color w:val="auto"/>
          <w:sz w:val="24"/>
          <w:szCs w:val="24"/>
          <w:highlight w:val="none"/>
          <w:lang w:eastAsia="zh-CN"/>
        </w:rPr>
        <w:t>拟提</w:t>
      </w:r>
      <w:r>
        <w:rPr>
          <w:rFonts w:hint="eastAsia" w:ascii="宋体" w:hAnsi="宋体" w:eastAsia="宋体" w:cs="宋体"/>
          <w:color w:val="auto"/>
          <w:sz w:val="24"/>
          <w:szCs w:val="24"/>
          <w:highlight w:val="none"/>
        </w:rPr>
        <w:t>供的合同项下服务符合招标文件规定的证明文件，该证明文件作为投标文件的一部分。</w:t>
      </w:r>
    </w:p>
    <w:p w14:paraId="707C1490">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16.2上述证明文件可以是文字资料、图纸和数据，并须提供：对照招标文件技术规格，逐条说明所提供服务对招标文件的技术规格条文的响应与偏离。对有具体参数要求的指标，投标人应提供具体参数值。</w:t>
      </w:r>
    </w:p>
    <w:p w14:paraId="30E05318">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 投标有效期</w:t>
      </w:r>
    </w:p>
    <w:p w14:paraId="16674BE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除</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另有规定外，投标有效期为90日，投标有效期从提交投标文件的截止之日起算。投标有效期不足的投标，在评标时将其视为投标无效。</w:t>
      </w:r>
    </w:p>
    <w:p w14:paraId="23103A9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特殊情况需延长投标有效期的，采购代理机构可于投标有效期届满之前，要求投标人同意延长有效期，采购代理机构的要求与投标人的答复均应为书面形式。投标人拒绝延长的，其投标在原投标有效</w:t>
      </w:r>
      <w:r>
        <w:rPr>
          <w:rFonts w:hint="eastAsia" w:ascii="宋体" w:hAnsi="宋体" w:eastAsia="宋体" w:cs="宋体"/>
          <w:color w:val="auto"/>
          <w:sz w:val="24"/>
          <w:szCs w:val="24"/>
          <w:highlight w:val="none"/>
          <w:lang w:eastAsia="zh-CN"/>
        </w:rPr>
        <w:t>期</w:t>
      </w:r>
      <w:r>
        <w:rPr>
          <w:rFonts w:hint="eastAsia" w:ascii="宋体" w:hAnsi="宋体" w:eastAsia="宋体" w:cs="宋体"/>
          <w:color w:val="auto"/>
          <w:sz w:val="24"/>
          <w:szCs w:val="24"/>
          <w:highlight w:val="none"/>
        </w:rPr>
        <w:t>届满后将不再有效，但有权收回其投标保证金；投标人同意延长的，应相应延长其投标保证金的有效期，但不允许修改或撤回投标文件。</w:t>
      </w:r>
    </w:p>
    <w:p w14:paraId="1F88F932">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投标保证金</w:t>
      </w:r>
    </w:p>
    <w:p w14:paraId="563AA78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根据《关于进一步优化营商环境促进政府采购提速增效相关事项的通知》要求，为进一步降低交易成本费用，减轻企业资金负担，取消政府采购项目的投标保证金。</w:t>
      </w:r>
    </w:p>
    <w:p w14:paraId="460E5DA6">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投标文件的签署</w:t>
      </w:r>
    </w:p>
    <w:p w14:paraId="2164767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电子投标文件：投标人应按照电子招标文件要求制作投标文件，并进行电子签名和盖章。</w:t>
      </w:r>
    </w:p>
    <w:p w14:paraId="0EABC95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19.2投标人确认投标后，应从交易平台上下载“政府采购电子招标文件制作工具”，并使用此工具编制电子投标文件，否则将可能影响电子投标文件的上传而导致投标无效。</w:t>
      </w:r>
    </w:p>
    <w:p w14:paraId="5DFAFD97">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19.3投标人因自身原因导致电子投标文件无法导入电子评标系统的，该投标文件视为无效投标文件。</w:t>
      </w:r>
    </w:p>
    <w:p w14:paraId="5965B56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19.4电子招投标文件具有法律效力，若投标文件与招标文件要求不一致，其内容影响中标结果时，责任由投标人自行承担。</w:t>
      </w:r>
    </w:p>
    <w:p w14:paraId="5045B05C">
      <w:pPr>
        <w:spacing w:line="440" w:lineRule="exact"/>
        <w:rPr>
          <w:rFonts w:hint="eastAsia" w:ascii="宋体" w:hAnsi="宋体" w:eastAsia="宋体" w:cs="宋体"/>
          <w:color w:val="auto"/>
          <w:sz w:val="24"/>
          <w:szCs w:val="24"/>
          <w:highlight w:val="none"/>
        </w:rPr>
      </w:pPr>
      <w:bookmarkStart w:id="73" w:name="EB9f6b1a5d14bf4f34b0bf7fa583403cbc"/>
      <w:r>
        <w:rPr>
          <w:rFonts w:hint="eastAsia" w:ascii="宋体" w:hAnsi="宋体" w:eastAsia="宋体" w:cs="宋体"/>
          <w:color w:val="auto"/>
          <w:sz w:val="24"/>
          <w:szCs w:val="24"/>
          <w:highlight w:val="none"/>
        </w:rPr>
        <w:t xml:space="preserve"> </w:t>
      </w:r>
      <w:bookmarkEnd w:id="73"/>
      <w:bookmarkStart w:id="74" w:name="EB9c2ffc9ec52d4b54a34663d52107c09b"/>
      <w:r>
        <w:rPr>
          <w:rFonts w:hint="eastAsia" w:ascii="宋体" w:hAnsi="宋体" w:eastAsia="宋体" w:cs="宋体"/>
          <w:color w:val="auto"/>
          <w:sz w:val="24"/>
          <w:szCs w:val="24"/>
          <w:highlight w:val="none"/>
        </w:rPr>
        <w:t xml:space="preserve"> </w:t>
      </w:r>
      <w:bookmarkEnd w:id="74"/>
      <w:bookmarkStart w:id="75" w:name="EB6c51497e093a4bd9852f0cc4f5f62ea1"/>
      <w:r>
        <w:rPr>
          <w:rFonts w:hint="eastAsia" w:ascii="宋体" w:hAnsi="宋体" w:eastAsia="宋体" w:cs="宋体"/>
          <w:color w:val="auto"/>
          <w:sz w:val="24"/>
          <w:szCs w:val="24"/>
          <w:highlight w:val="none"/>
        </w:rPr>
        <w:t xml:space="preserve"> </w:t>
      </w:r>
      <w:bookmarkEnd w:id="75"/>
    </w:p>
    <w:p w14:paraId="285C30BA">
      <w:pPr>
        <w:pStyle w:val="7"/>
        <w:spacing w:before="0" w:after="0" w:line="440" w:lineRule="exact"/>
        <w:rPr>
          <w:rFonts w:hint="eastAsia" w:ascii="宋体" w:hAnsi="宋体" w:eastAsia="宋体" w:cs="宋体"/>
          <w:color w:val="auto"/>
          <w:sz w:val="24"/>
          <w:szCs w:val="24"/>
          <w:highlight w:val="none"/>
        </w:rPr>
      </w:pPr>
      <w:bookmarkStart w:id="76" w:name="_Toc129095506"/>
      <w:bookmarkStart w:id="77" w:name="_Toc129095611"/>
      <w:bookmarkStart w:id="78" w:name="_Toc6242761"/>
      <w:bookmarkStart w:id="79" w:name="_Toc966145"/>
      <w:r>
        <w:rPr>
          <w:rFonts w:hint="eastAsia" w:ascii="宋体" w:hAnsi="宋体" w:eastAsia="宋体" w:cs="宋体"/>
          <w:color w:val="auto"/>
          <w:sz w:val="24"/>
          <w:szCs w:val="24"/>
          <w:highlight w:val="none"/>
        </w:rPr>
        <w:t>四、投标</w:t>
      </w:r>
      <w:bookmarkEnd w:id="76"/>
      <w:bookmarkEnd w:id="77"/>
      <w:bookmarkEnd w:id="78"/>
      <w:bookmarkEnd w:id="79"/>
    </w:p>
    <w:p w14:paraId="05F3ACB7">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20.</w:t>
      </w:r>
      <w:r>
        <w:rPr>
          <w:rFonts w:hint="eastAsia" w:ascii="宋体" w:hAnsi="宋体" w:eastAsia="宋体" w:cs="宋体"/>
          <w:color w:val="auto"/>
          <w:sz w:val="24"/>
          <w:szCs w:val="24"/>
          <w:highlight w:val="none"/>
        </w:rPr>
        <w:t>供应商应准备所投项目的电子投标文件一份，此投标文件须根据招标人提供的后缀名为CSZF或CSCF格式的电子招标文件进行制作。</w:t>
      </w:r>
    </w:p>
    <w:p w14:paraId="2046C0D3">
      <w:pPr>
        <w:spacing w:line="440" w:lineRule="exact"/>
        <w:rPr>
          <w:rFonts w:hint="eastAsia" w:ascii="宋体" w:hAnsi="宋体" w:eastAsia="宋体" w:cs="宋体"/>
          <w:color w:val="auto"/>
          <w:sz w:val="24"/>
          <w:szCs w:val="24"/>
          <w:highlight w:val="none"/>
        </w:rPr>
      </w:pPr>
    </w:p>
    <w:p w14:paraId="02F96F0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21.</w:t>
      </w:r>
      <w:r>
        <w:rPr>
          <w:rFonts w:hint="eastAsia" w:ascii="宋体" w:hAnsi="宋体" w:eastAsia="宋体" w:cs="宋体"/>
          <w:color w:val="auto"/>
          <w:sz w:val="24"/>
          <w:szCs w:val="24"/>
          <w:highlight w:val="none"/>
        </w:rPr>
        <w:t>投标文件的编制</w:t>
      </w:r>
    </w:p>
    <w:p w14:paraId="26EFB255">
      <w:pPr>
        <w:widowControl/>
        <w:spacing w:line="440" w:lineRule="exact"/>
        <w:ind w:left="42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21.1 电子投标文件的编制</w:t>
      </w:r>
    </w:p>
    <w:p w14:paraId="1916F947">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供应商应使用长沙政府采购电子交易系统认可的电子投标文件制作工具制作投标文件（ 含澄清、说明文件）；电子投标文件制作工具可在“湖南省公共资源交易服务平台”下载专区栏目中下载。在安装此软件之前，须先安装office2010及以上版本。）</w:t>
      </w:r>
    </w:p>
    <w:p w14:paraId="50342293">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供应商应使用长沙政府采购交易系统认可的CA数字证书（含电子签章）进行系统登录、身份识别、签章、文件加解密等。CA数字证书具有唯一性，仅限于本单位在电子化政府采购活动中使用，不得转让和出借；</w:t>
      </w:r>
    </w:p>
    <w:p w14:paraId="1C4618C2">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 供应商在编制电子投标文件时应当建立分级目录，并根据招标文件要求将相关内容上传或填写到对应的节点位置，</w:t>
      </w:r>
      <w:r>
        <w:rPr>
          <w:rFonts w:hint="eastAsia" w:ascii="宋体" w:hAnsi="宋体" w:eastAsia="宋体" w:cs="宋体"/>
          <w:b/>
          <w:bCs/>
          <w:color w:val="auto"/>
          <w:sz w:val="24"/>
          <w:szCs w:val="24"/>
          <w:highlight w:val="none"/>
        </w:rPr>
        <w:t>未按要求填写或上传的，相应责任由供应商自行承担</w:t>
      </w:r>
      <w:r>
        <w:rPr>
          <w:rFonts w:hint="eastAsia" w:ascii="宋体" w:hAnsi="宋体" w:eastAsia="宋体" w:cs="宋体"/>
          <w:color w:val="auto"/>
          <w:sz w:val="24"/>
          <w:szCs w:val="24"/>
          <w:highlight w:val="none"/>
        </w:rPr>
        <w:t>；</w:t>
      </w:r>
    </w:p>
    <w:p w14:paraId="74FBE44F">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 供应商应根据招标文件要求，对电子投标文件进行盖章、签字（含电子签章）；</w:t>
      </w:r>
    </w:p>
    <w:p w14:paraId="2213B68C">
      <w:pPr>
        <w:spacing w:line="440" w:lineRule="exact"/>
        <w:ind w:firstLine="470" w:firstLineChars="196"/>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21.5 电子投标文件编写完成后，供应商应对电子投标文件进行固化，并通过CA数字证书进行加密。</w:t>
      </w:r>
    </w:p>
    <w:p w14:paraId="1359D316">
      <w:pPr>
        <w:widowControl/>
        <w:spacing w:line="440" w:lineRule="exact"/>
        <w:ind w:left="42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22. 投标文件的递交</w:t>
      </w:r>
    </w:p>
    <w:p w14:paraId="7E6B3518">
      <w:pPr>
        <w:spacing w:line="360" w:lineRule="exact"/>
        <w:ind w:firstLine="470" w:firstLineChars="196"/>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22.1</w:t>
      </w:r>
      <w:r>
        <w:rPr>
          <w:rFonts w:hint="eastAsia" w:ascii="宋体" w:hAnsi="宋体" w:eastAsia="宋体" w:cs="Times New Roman"/>
          <w:color w:val="auto"/>
          <w:sz w:val="24"/>
          <w:szCs w:val="24"/>
          <w:highlight w:val="none"/>
        </w:rPr>
        <w:t xml:space="preserve"> 电子标实行网上投标，供应商必须在招标文件规定的投标截止时间前在“湖南省公共资源交易服务平台 ”中登录“长沙政府采购电子交易系统”完成投标文件上传。本项目电子投标文件最大容量为200MB，超过此容量的文件将被拒绝。如果多次上传均告失败，请拨打咨询电话（400-928-0095或0731-89938899转政府采购电子交易系统技术支持）。</w:t>
      </w:r>
    </w:p>
    <w:p w14:paraId="71AE4177">
      <w:pPr>
        <w:spacing w:line="360" w:lineRule="exact"/>
        <w:ind w:firstLine="470" w:firstLineChars="196"/>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按本通用条款第10条规定，招标文件发生实质性修改后，供应商须撤回原电子投标文件，根据最新招标文件重新制作投标文件并再次上传。</w:t>
      </w:r>
    </w:p>
    <w:p w14:paraId="79240A74">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22.2 投标时间截止后不再接受投标文件。因供应商自身原因导致未能在规定时间内上传投标文件的，相应责任由供应商自行承担。建议于开标前一个工作日完成投标文件的制作与上传，如果遇到文件递交问题，请及时咨询</w:t>
      </w:r>
      <w:r>
        <w:rPr>
          <w:rFonts w:ascii="宋体" w:hAnsi="宋体" w:eastAsia="宋体" w:cs="Times New Roman"/>
          <w:color w:val="auto"/>
          <w:sz w:val="24"/>
          <w:szCs w:val="24"/>
          <w:highlight w:val="none"/>
        </w:rPr>
        <w:t>。</w:t>
      </w:r>
    </w:p>
    <w:p w14:paraId="7D2D58F5">
      <w:pPr>
        <w:spacing w:line="440" w:lineRule="exact"/>
        <w:ind w:firstLine="470" w:firstLineChars="196"/>
        <w:rPr>
          <w:rFonts w:hint="eastAsia" w:ascii="宋体" w:hAnsi="宋体" w:eastAsia="宋体" w:cs="宋体"/>
          <w:color w:val="auto"/>
          <w:sz w:val="24"/>
          <w:szCs w:val="24"/>
          <w:highlight w:val="none"/>
        </w:rPr>
      </w:pPr>
    </w:p>
    <w:p w14:paraId="7083A454">
      <w:pPr>
        <w:widowControl/>
        <w:spacing w:line="440" w:lineRule="exact"/>
        <w:ind w:left="42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23. 投标文件的修改和撤回</w:t>
      </w:r>
    </w:p>
    <w:p w14:paraId="0E069510">
      <w:pPr>
        <w:spacing w:line="360" w:lineRule="exact"/>
        <w:ind w:firstLine="470" w:firstLineChars="196"/>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23.1</w:t>
      </w:r>
      <w:r>
        <w:rPr>
          <w:rFonts w:hint="eastAsia"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lang w:eastAsia="zh-CN"/>
        </w:rPr>
        <w:t>投标人</w:t>
      </w:r>
      <w:r>
        <w:rPr>
          <w:rFonts w:hint="eastAsia" w:ascii="宋体" w:hAnsi="宋体" w:eastAsia="宋体" w:cs="Times New Roman"/>
          <w:color w:val="auto"/>
          <w:sz w:val="24"/>
          <w:szCs w:val="24"/>
          <w:highlight w:val="none"/>
        </w:rPr>
        <w:t>在提交电子投标文件后可对其投标文件进行修改并重新上传投标文件或在网上进行撤销投标的操作。</w:t>
      </w:r>
    </w:p>
    <w:p w14:paraId="3B6089F4">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23.2 投标截止时间以后不得修改投标文件。</w:t>
      </w:r>
    </w:p>
    <w:p w14:paraId="1148B6A1">
      <w:pPr>
        <w:widowControl/>
        <w:spacing w:line="440" w:lineRule="exact"/>
        <w:ind w:left="42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24.分包</w:t>
      </w:r>
    </w:p>
    <w:p w14:paraId="0439D9D2">
      <w:pPr>
        <w:spacing w:line="360" w:lineRule="exact"/>
        <w:ind w:firstLine="470" w:firstLineChars="196"/>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24.1 </w:t>
      </w:r>
      <w:r>
        <w:rPr>
          <w:rFonts w:hint="eastAsia" w:ascii="宋体" w:hAnsi="宋体" w:eastAsia="宋体" w:cs="Times New Roman"/>
          <w:color w:val="auto"/>
          <w:sz w:val="24"/>
          <w:szCs w:val="24"/>
          <w:highlight w:val="none"/>
        </w:rPr>
        <w:t>供应商拟在中标后可将中标项目进行分包的，应符合【投标须知前附表】规定的分包内容、分包金额和资质要求等限制性条件，并在投标文件中载明分包承担主体，且分包承担主体不得再次分包。</w:t>
      </w:r>
    </w:p>
    <w:p w14:paraId="09987E35">
      <w:pPr>
        <w:spacing w:line="360" w:lineRule="exact"/>
        <w:ind w:firstLine="470" w:firstLineChars="196"/>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24.2 中标人应当就分包项目向采购人负责，分包承担主体就分包项目承担连带责任。</w:t>
      </w:r>
    </w:p>
    <w:p w14:paraId="6F6BFE1F">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24.3 不符合招标文件中有关分包、转包规定的，其投标将被拒绝</w:t>
      </w:r>
      <w:r>
        <w:rPr>
          <w:rFonts w:ascii="宋体" w:hAnsi="宋体" w:eastAsia="宋体" w:cs="Times New Roman"/>
          <w:color w:val="auto"/>
          <w:sz w:val="24"/>
          <w:szCs w:val="24"/>
          <w:highlight w:val="none"/>
        </w:rPr>
        <w:t>。</w:t>
      </w:r>
    </w:p>
    <w:p w14:paraId="277A3CD1">
      <w:pPr>
        <w:spacing w:line="440" w:lineRule="exact"/>
        <w:ind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25. 串通投标行为</w:t>
      </w:r>
    </w:p>
    <w:p w14:paraId="6279D06F">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25.1有下列情形之一的，属于恶意串通，对投标人依照政府采购法第七十七条第一款的规定追究法律责任：</w:t>
      </w:r>
    </w:p>
    <w:p w14:paraId="08EAC5BF">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（1）投标人直接或者间接从采购人或者采购代理机构处获得其他投标人的相关情况并修改其投标文件；</w:t>
      </w:r>
    </w:p>
    <w:p w14:paraId="6D5D5F6C">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（2）投标人按照采购人或者采购代理机构的授意撤换、修改投标文件；</w:t>
      </w:r>
    </w:p>
    <w:p w14:paraId="448EC974">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（3）投标人之间协商报价、技术方案等投标文件的实质性内容；</w:t>
      </w:r>
    </w:p>
    <w:p w14:paraId="2CBE2364">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（4）属于同一集团、协会、商会等组织成员的投标人按照该组织要求协同参加政府采购活动；</w:t>
      </w:r>
    </w:p>
    <w:p w14:paraId="6C4E3DE1">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（5）投标人之间事先约定由某一特定投标人中标；</w:t>
      </w:r>
    </w:p>
    <w:p w14:paraId="65DC097C">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（6）投标人之间商定部分投标人放弃参加政府采购活动或者放弃中标；</w:t>
      </w:r>
    </w:p>
    <w:p w14:paraId="7CE4C879">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（7）投标人与采购人或者采购代理机构之间、投标人相互之间，为谋求特定投标人中标或者排斥其他投标人的其他串通行为。</w:t>
      </w:r>
    </w:p>
    <w:p w14:paraId="550130F8">
      <w:pPr>
        <w:spacing w:line="44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25.2有下列情形之一的，视为投标人串通投标，其投标无效：</w:t>
      </w:r>
    </w:p>
    <w:p w14:paraId="3B23FD40">
      <w:pPr>
        <w:spacing w:line="360" w:lineRule="exact"/>
        <w:ind w:firstLine="470" w:firstLineChars="196"/>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（1）不同供应商的投标文件由同一单位或者个人编制；</w:t>
      </w:r>
    </w:p>
    <w:p w14:paraId="77585BBC">
      <w:pPr>
        <w:spacing w:line="360" w:lineRule="exact"/>
        <w:ind w:firstLine="470" w:firstLineChars="196"/>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（2）不同供应商委托同一单位或者个人办理投标事宜；</w:t>
      </w:r>
    </w:p>
    <w:p w14:paraId="260940D7">
      <w:pPr>
        <w:spacing w:line="360" w:lineRule="exact"/>
        <w:ind w:firstLine="470" w:firstLineChars="196"/>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（3）不同供应商的投标文件载明的项目管理成员或者联系人员为同一人；</w:t>
      </w:r>
    </w:p>
    <w:p w14:paraId="31262D3C">
      <w:pPr>
        <w:spacing w:line="360" w:lineRule="exact"/>
        <w:ind w:firstLine="470" w:firstLineChars="196"/>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（4）不同供应商的投标文件异常一致或者投标报价呈规律性差异；</w:t>
      </w:r>
    </w:p>
    <w:p w14:paraId="35492106">
      <w:pPr>
        <w:spacing w:line="440" w:lineRule="exact"/>
        <w:ind w:firstLine="470" w:firstLineChars="196"/>
        <w:rPr>
          <w:rFonts w:hint="eastAsia" w:ascii="宋体" w:hAnsi="宋体" w:eastAsia="宋体" w:cs="宋体"/>
          <w:color w:val="auto"/>
          <w:kern w:val="0"/>
          <w:sz w:val="24"/>
          <w:szCs w:val="24"/>
          <w:highlight w:val="none"/>
        </w:rPr>
      </w:pPr>
      <w:r>
        <w:rPr>
          <w:rFonts w:ascii="宋体" w:hAnsi="宋体" w:eastAsia="宋体" w:cs="Times New Roman"/>
          <w:color w:val="auto"/>
          <w:sz w:val="24"/>
          <w:szCs w:val="24"/>
          <w:highlight w:val="none"/>
        </w:rPr>
        <w:t>（5）不同供应商的投标文件相互混装</w:t>
      </w:r>
      <w:r>
        <w:rPr>
          <w:rFonts w:hint="eastAsia" w:ascii="宋体" w:hAnsi="宋体" w:eastAsia="宋体" w:cs="Times New Roman"/>
          <w:color w:val="auto"/>
          <w:sz w:val="24"/>
          <w:szCs w:val="24"/>
          <w:highlight w:val="none"/>
        </w:rPr>
        <w:t>。</w:t>
      </w:r>
    </w:p>
    <w:p w14:paraId="1562DDD8">
      <w:pPr>
        <w:spacing w:line="440" w:lineRule="exact"/>
        <w:rPr>
          <w:rFonts w:hint="eastAsia" w:ascii="宋体" w:hAnsi="宋体" w:eastAsia="宋体" w:cs="宋体"/>
          <w:color w:val="auto"/>
          <w:sz w:val="24"/>
          <w:szCs w:val="24"/>
          <w:highlight w:val="none"/>
        </w:rPr>
      </w:pPr>
      <w:bookmarkStart w:id="80" w:name="EB7002b4520233436680e9e4d19a91cfb1"/>
      <w:r>
        <w:rPr>
          <w:rFonts w:hint="eastAsia" w:ascii="宋体" w:hAnsi="宋体" w:eastAsia="宋体" w:cs="宋体"/>
          <w:color w:val="auto"/>
          <w:sz w:val="24"/>
          <w:szCs w:val="24"/>
          <w:highlight w:val="none"/>
        </w:rPr>
        <w:t xml:space="preserve"> </w:t>
      </w:r>
      <w:bookmarkEnd w:id="80"/>
      <w:bookmarkStart w:id="81" w:name="EB1bed23574f14484690cdd09d75658c01"/>
      <w:r>
        <w:rPr>
          <w:rFonts w:hint="eastAsia" w:ascii="宋体" w:hAnsi="宋体" w:eastAsia="宋体" w:cs="宋体"/>
          <w:color w:val="auto"/>
          <w:sz w:val="24"/>
          <w:szCs w:val="24"/>
          <w:highlight w:val="none"/>
        </w:rPr>
        <w:t xml:space="preserve"> </w:t>
      </w:r>
      <w:bookmarkEnd w:id="81"/>
      <w:bookmarkStart w:id="82" w:name="EB9fbabc3cb02c4816901d41c50975eb72"/>
      <w:r>
        <w:rPr>
          <w:rFonts w:hint="eastAsia" w:ascii="宋体" w:hAnsi="宋体" w:eastAsia="宋体" w:cs="宋体"/>
          <w:color w:val="auto"/>
          <w:sz w:val="24"/>
          <w:szCs w:val="24"/>
          <w:highlight w:val="none"/>
        </w:rPr>
        <w:t xml:space="preserve"> </w:t>
      </w:r>
      <w:bookmarkEnd w:id="82"/>
    </w:p>
    <w:p w14:paraId="6872F21A">
      <w:pPr>
        <w:pStyle w:val="7"/>
        <w:spacing w:before="0" w:after="0" w:line="440" w:lineRule="exact"/>
        <w:rPr>
          <w:rFonts w:hint="eastAsia" w:ascii="宋体" w:hAnsi="宋体" w:eastAsia="宋体" w:cs="宋体"/>
          <w:color w:val="auto"/>
          <w:sz w:val="24"/>
          <w:szCs w:val="24"/>
          <w:highlight w:val="none"/>
        </w:rPr>
      </w:pPr>
      <w:bookmarkStart w:id="83" w:name="_Toc6242762"/>
      <w:bookmarkStart w:id="84" w:name="_Toc129095507"/>
      <w:bookmarkStart w:id="85" w:name="_Toc129095612"/>
      <w:bookmarkStart w:id="86" w:name="_Toc966146"/>
      <w:r>
        <w:rPr>
          <w:rFonts w:hint="eastAsia" w:ascii="宋体" w:hAnsi="宋体" w:eastAsia="宋体" w:cs="宋体"/>
          <w:color w:val="auto"/>
          <w:sz w:val="24"/>
          <w:szCs w:val="24"/>
          <w:highlight w:val="none"/>
        </w:rPr>
        <w:t>五、开标，资格审查和评标</w:t>
      </w:r>
      <w:bookmarkEnd w:id="83"/>
      <w:bookmarkEnd w:id="84"/>
      <w:bookmarkEnd w:id="85"/>
      <w:bookmarkEnd w:id="86"/>
    </w:p>
    <w:p w14:paraId="34D72C9A">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26. 开标</w:t>
      </w:r>
    </w:p>
    <w:p w14:paraId="388A7C5A">
      <w:pPr>
        <w:spacing w:line="360" w:lineRule="exact"/>
        <w:ind w:firstLine="410" w:firstLineChars="171"/>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26.1 采购代理机构在规定时间组织网上开标。供应商在湖南省公共资源交易服务平台中登陆“长沙政府采购不见面开标大厅”，参与项目网上开标会。</w:t>
      </w:r>
    </w:p>
    <w:p w14:paraId="5A5E83C0">
      <w:pPr>
        <w:spacing w:line="360" w:lineRule="exact"/>
        <w:ind w:firstLine="410" w:firstLineChars="171"/>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26.2 投标截止时间到达以后，供应商在规定时限内对电子投标文件进行解密并在网上进行开标、唱标，同步在网上公布开标结果。</w:t>
      </w:r>
    </w:p>
    <w:p w14:paraId="3EB589D3">
      <w:pPr>
        <w:spacing w:line="360" w:lineRule="exact"/>
        <w:ind w:firstLine="410" w:firstLineChars="171"/>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26.3 因供应商自身原因，未在规定时限内完成解密或无法解密的投标文件视为无效投标文件，相应责任由供应商自行承担。</w:t>
      </w:r>
    </w:p>
    <w:p w14:paraId="4A0654A1">
      <w:pPr>
        <w:spacing w:line="440" w:lineRule="exact"/>
        <w:ind w:firstLine="410" w:firstLineChars="171"/>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26.4 如开标时出现系统、网络等故障，为保障采购活动公开、公平、公正、有序开展，采购人可采取延期开标或延长文件上传、解密时间等措施，供应商不得对此持有异议。</w:t>
      </w:r>
    </w:p>
    <w:p w14:paraId="34EE6EF3">
      <w:pPr>
        <w:adjustRightInd w:val="0"/>
        <w:snapToGrid w:val="0"/>
        <w:spacing w:line="440" w:lineRule="exact"/>
        <w:ind w:firstLine="354" w:firstLineChars="147"/>
        <w:rPr>
          <w:rFonts w:hint="eastAsia" w:ascii="宋体" w:hAnsi="宋体" w:eastAsia="宋体" w:cs="宋体"/>
          <w:b/>
          <w:color w:val="auto"/>
          <w:sz w:val="24"/>
          <w:szCs w:val="24"/>
          <w:highlight w:val="none"/>
        </w:rPr>
      </w:pPr>
      <w:r>
        <w:rPr>
          <w:rStyle w:val="21"/>
          <w:rFonts w:hint="eastAsia" w:ascii="宋体" w:hAnsi="宋体" w:eastAsia="宋体" w:cs="宋体"/>
          <w:color w:val="auto"/>
          <w:sz w:val="24"/>
          <w:szCs w:val="24"/>
          <w:highlight w:val="none"/>
        </w:rPr>
        <w:t>27.</w:t>
      </w:r>
      <w:r>
        <w:rPr>
          <w:rFonts w:hint="eastAsia" w:ascii="宋体" w:hAnsi="宋体" w:eastAsia="宋体" w:cs="宋体"/>
          <w:b/>
          <w:color w:val="auto"/>
          <w:sz w:val="24"/>
          <w:szCs w:val="24"/>
          <w:highlight w:val="none"/>
        </w:rPr>
        <w:t xml:space="preserve"> </w:t>
      </w:r>
      <w:r>
        <w:rPr>
          <w:rFonts w:hint="eastAsia" w:ascii="宋体" w:hAnsi="宋体" w:eastAsia="宋体" w:cs="宋体"/>
          <w:b/>
          <w:bCs/>
          <w:color w:val="auto"/>
          <w:sz w:val="24"/>
          <w:szCs w:val="24"/>
          <w:highlight w:val="none"/>
        </w:rPr>
        <w:t>资格审查</w:t>
      </w:r>
    </w:p>
    <w:p w14:paraId="0D18C7C6">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27.1 开标结束后，采购人及采购代理机构将依法对供应商的资格进行审查。</w:t>
      </w:r>
    </w:p>
    <w:p w14:paraId="38A7392C">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27.2 在资格审查时，采购人及采购代理机构将对供应商信用记录进行甄别。</w:t>
      </w:r>
    </w:p>
    <w:p w14:paraId="009D6926">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（1）信用信息查询的查询内容：本章第3.3款第（4）项规定；</w:t>
      </w:r>
    </w:p>
    <w:p w14:paraId="156D7428">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（2）信用信息查询的查询渠道：信用中国网站（www.creditchina.gov.cn）、中国政府采购网（www.ccgp.gov.cn）、湖南信用网（</w:t>
      </w:r>
      <w:r>
        <w:rPr>
          <w:rFonts w:hint="eastAsia" w:ascii="宋体" w:hAnsi="宋体" w:eastAsia="等线" w:cs="Times New Roman"/>
          <w:color w:val="auto"/>
          <w:sz w:val="24"/>
          <w:szCs w:val="24"/>
          <w:highlight w:val="none"/>
        </w:rPr>
        <w:t>https://</w:t>
      </w:r>
      <w:r>
        <w:rPr>
          <w:rFonts w:ascii="宋体" w:hAnsi="宋体" w:eastAsia="等线" w:cs="Times New Roman"/>
          <w:color w:val="auto"/>
          <w:sz w:val="24"/>
          <w:szCs w:val="24"/>
          <w:highlight w:val="none"/>
        </w:rPr>
        <w:t>credit</w:t>
      </w:r>
      <w:r>
        <w:rPr>
          <w:rFonts w:hint="eastAsia" w:ascii="宋体" w:hAnsi="宋体" w:eastAsia="等线" w:cs="Times New Roman"/>
          <w:color w:val="auto"/>
          <w:sz w:val="24"/>
          <w:szCs w:val="24"/>
          <w:highlight w:val="none"/>
        </w:rPr>
        <w:t>.hunan</w:t>
      </w:r>
      <w:r>
        <w:rPr>
          <w:rFonts w:ascii="宋体" w:hAnsi="宋体" w:eastAsia="等线" w:cs="Times New Roman"/>
          <w:color w:val="auto"/>
          <w:sz w:val="24"/>
          <w:szCs w:val="24"/>
          <w:highlight w:val="none"/>
        </w:rPr>
        <w:t>.gov.cn</w:t>
      </w:r>
      <w:r>
        <w:rPr>
          <w:rFonts w:hint="eastAsia" w:ascii="宋体" w:hAnsi="宋体" w:eastAsia="宋体" w:cs="Times New Roman"/>
          <w:color w:val="auto"/>
          <w:sz w:val="24"/>
          <w:szCs w:val="24"/>
          <w:highlight w:val="none"/>
        </w:rPr>
        <w:t>）和湖南省政府采购网（</w:t>
      </w:r>
      <w:r>
        <w:rPr>
          <w:rFonts w:hint="eastAsia" w:ascii="Times New Roman" w:hAnsi="Times New Roman" w:eastAsia="宋体" w:cs="Times New Roman"/>
          <w:color w:val="auto"/>
          <w:sz w:val="24"/>
          <w:szCs w:val="24"/>
          <w:highlight w:val="none"/>
        </w:rPr>
        <w:t>www.ccgp-hunan.gov.cn</w:t>
      </w:r>
      <w:r>
        <w:rPr>
          <w:rFonts w:hint="eastAsia" w:ascii="宋体" w:hAnsi="宋体" w:eastAsia="宋体" w:cs="Times New Roman"/>
          <w:color w:val="auto"/>
          <w:sz w:val="24"/>
          <w:szCs w:val="24"/>
          <w:highlight w:val="none"/>
        </w:rPr>
        <w:t>）；</w:t>
      </w:r>
    </w:p>
    <w:p w14:paraId="2D9FB0ED">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（3）信用信息查询的截止时点：提交投标文件的截止时间；</w:t>
      </w:r>
    </w:p>
    <w:p w14:paraId="45605D51">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信用信息的使用原则：被列入失信被执行人、重大税收违法案件当事人名单、政府采购严重违法失信行为记录名单及其他不符合《中华人民共和国政府采购法》第二十二条规定条件的供应商，将拒绝其参与政府采购活动。</w:t>
      </w:r>
    </w:p>
    <w:p w14:paraId="0B7A0E22">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（5）信用信息查询记录和证据留存具体方式：查询结果网页截图作为查询记录和证据，与其他采购文件一并保存。</w:t>
      </w:r>
    </w:p>
    <w:p w14:paraId="5BAB212F">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27.3 投标文件属下列情况之一的，投标无效：</w:t>
      </w:r>
    </w:p>
    <w:p w14:paraId="278C8F86">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（1）不符合本章第3条供应商的资格要求的；</w:t>
      </w:r>
    </w:p>
    <w:p w14:paraId="25D1B063">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（2）联合体没有提交联合体协议书，或未提交联合体各方资格证明文件的；</w:t>
      </w:r>
    </w:p>
    <w:p w14:paraId="3B716766">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hint="eastAsia" w:ascii="宋体" w:hAnsi="宋体" w:eastAsia="宋体" w:cs="Times New Roman"/>
          <w:bCs/>
          <w:color w:val="auto"/>
          <w:sz w:val="24"/>
          <w:szCs w:val="24"/>
          <w:highlight w:val="none"/>
        </w:rPr>
        <w:t>未按招标文件要求提交资格证明文件或</w:t>
      </w:r>
      <w:r>
        <w:rPr>
          <w:rFonts w:hint="eastAsia" w:ascii="宋体" w:hAnsi="宋体" w:eastAsia="宋体" w:cs="Times New Roman"/>
          <w:color w:val="auto"/>
          <w:sz w:val="24"/>
          <w:szCs w:val="24"/>
          <w:highlight w:val="none"/>
        </w:rPr>
        <w:t>投标文件中资格证明文件未按照招标文件要求签署、盖章的；</w:t>
      </w:r>
    </w:p>
    <w:p w14:paraId="231949A4">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（4）不符合法律、法规和招标文件规定的其他投标无效情形的。</w:t>
      </w:r>
    </w:p>
    <w:p w14:paraId="7E91EF4A">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27.4 对未通过资格审查的供应商，采购人及采购代理机构应当告知其未通过的原因。</w:t>
      </w:r>
    </w:p>
    <w:p w14:paraId="2FB0E61B">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27.5 合格供应商不足3家的，不得进入评标环节。</w:t>
      </w:r>
    </w:p>
    <w:p w14:paraId="6A1D963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27.6 已进行资格预审的，可以不再对供应商资格进行审查。资格预审合格的供应商在提交投标文件的截止时间前资格发生变化的，应当通知采购人和采购代理机构，并按新情况更新或补充其在申请资格预审时提供的证明资料，以证实其各项资格条件仍能继续满足资格预审公告的要求。</w:t>
      </w:r>
    </w:p>
    <w:p w14:paraId="0C947543">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28.</w:t>
      </w:r>
      <w:r>
        <w:rPr>
          <w:rFonts w:hint="eastAsia" w:ascii="宋体" w:hAnsi="宋体" w:eastAsia="宋体" w:cs="宋体"/>
          <w:b/>
          <w:color w:val="auto"/>
          <w:sz w:val="24"/>
          <w:szCs w:val="24"/>
          <w:highlight w:val="none"/>
        </w:rPr>
        <w:t xml:space="preserve"> 评标委员会</w:t>
      </w:r>
    </w:p>
    <w:p w14:paraId="750E88C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28.1评标由依法组建的评标委员会负责，评标委员会由评审专家组成。</w:t>
      </w:r>
    </w:p>
    <w:p w14:paraId="3CAD853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28.2评标委员会成员有下列情形之一的，应当回避：</w:t>
      </w:r>
    </w:p>
    <w:p w14:paraId="74E47F5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（1）参加采购活动前3年内与投标人存在劳动关系；</w:t>
      </w:r>
    </w:p>
    <w:p w14:paraId="1AAF3F76">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（2）参加采购活动前3年内担任投标人的董事、监事；</w:t>
      </w:r>
    </w:p>
    <w:p w14:paraId="30D3E43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（3）参加采购活动前3年内是投标人的控股股东或者实际控制人；</w:t>
      </w:r>
    </w:p>
    <w:p w14:paraId="6EB7D79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（4）与投标人的法定代表人或者负责人有夫妻、直系血亲、三代以内旁系血亲或者近姻亲关系；</w:t>
      </w:r>
    </w:p>
    <w:p w14:paraId="2BE387E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（5）与投标人有其他可能影响政府采购活动公平、公正进行的关系。</w:t>
      </w:r>
    </w:p>
    <w:p w14:paraId="3226C63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28.3评标委员会负责具体评标事务，并独立履行下列职责：</w:t>
      </w:r>
    </w:p>
    <w:p w14:paraId="33443F2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（1）审查、评价投标文件是否符合招标文件的商务、技术等实质性要求；</w:t>
      </w:r>
    </w:p>
    <w:p w14:paraId="4FA2CD7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（2）要求投标人对投标文件有关事项作出澄清或者说明；</w:t>
      </w:r>
    </w:p>
    <w:p w14:paraId="133474F7">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（3）对投标文件进行比较和评价；</w:t>
      </w:r>
    </w:p>
    <w:p w14:paraId="7D10046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（4）确定中标候选人名单，以及根据采购人委托直接确定中标人。</w:t>
      </w:r>
    </w:p>
    <w:p w14:paraId="7A316DB8">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29.</w:t>
      </w:r>
      <w:r>
        <w:rPr>
          <w:rFonts w:hint="eastAsia" w:ascii="宋体" w:hAnsi="宋体" w:eastAsia="宋体" w:cs="宋体"/>
          <w:b/>
          <w:bCs/>
          <w:color w:val="auto"/>
          <w:sz w:val="24"/>
          <w:szCs w:val="24"/>
          <w:highlight w:val="none"/>
        </w:rPr>
        <w:t xml:space="preserve"> 评标</w:t>
      </w:r>
    </w:p>
    <w:p w14:paraId="307B01D1">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29.1 评标委员会按照</w:t>
      </w:r>
      <w:r>
        <w:rPr>
          <w:rFonts w:hint="eastAsia" w:ascii="宋体" w:hAnsi="宋体" w:eastAsia="宋体" w:cs="宋体"/>
          <w:bCs/>
          <w:color w:val="auto"/>
          <w:sz w:val="24"/>
          <w:szCs w:val="24"/>
          <w:highlight w:val="none"/>
        </w:rPr>
        <w:t>第三章评标方法及标准</w:t>
      </w:r>
      <w:r>
        <w:rPr>
          <w:rFonts w:hint="eastAsia" w:ascii="宋体" w:hAnsi="宋体" w:eastAsia="宋体" w:cs="宋体"/>
          <w:color w:val="auto"/>
          <w:sz w:val="24"/>
          <w:szCs w:val="24"/>
          <w:highlight w:val="none"/>
        </w:rPr>
        <w:t>规定的评标方法、评审因素、标准和程序对投标文件进行评审。</w:t>
      </w:r>
    </w:p>
    <w:p w14:paraId="1DC1C332">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30.电子招投标的应急措施</w:t>
      </w:r>
    </w:p>
    <w:p w14:paraId="2E14D80B">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在电子化政府采购交易过程中，如遇不可抗力及停电、系统故障等情况短时内无法恢复正常的，采购人应暂停开、评标等交易活动，及时将情况通报采购监督部门。待故障和问题解除后，恢复交易活动。</w:t>
      </w:r>
    </w:p>
    <w:p w14:paraId="1659705F">
      <w:pPr>
        <w:spacing w:line="440" w:lineRule="exact"/>
        <w:rPr>
          <w:rFonts w:hint="eastAsia" w:ascii="宋体" w:hAnsi="宋体" w:eastAsia="宋体" w:cs="宋体"/>
          <w:color w:val="auto"/>
          <w:sz w:val="24"/>
          <w:szCs w:val="24"/>
          <w:highlight w:val="none"/>
        </w:rPr>
      </w:pPr>
      <w:bookmarkStart w:id="87" w:name="EBc2e763adc0db4c4ca536b2d0fabb0f7c"/>
      <w:r>
        <w:rPr>
          <w:rFonts w:hint="eastAsia" w:ascii="宋体" w:hAnsi="宋体" w:eastAsia="宋体" w:cs="宋体"/>
          <w:color w:val="auto"/>
          <w:sz w:val="24"/>
          <w:szCs w:val="24"/>
          <w:highlight w:val="none"/>
        </w:rPr>
        <w:t xml:space="preserve"> </w:t>
      </w:r>
      <w:bookmarkEnd w:id="87"/>
      <w:bookmarkStart w:id="88" w:name="EB3d8508ca6b1545a39f73f3c5ac6f8364"/>
      <w:r>
        <w:rPr>
          <w:rFonts w:hint="eastAsia" w:ascii="宋体" w:hAnsi="宋体" w:eastAsia="宋体" w:cs="宋体"/>
          <w:color w:val="auto"/>
          <w:sz w:val="24"/>
          <w:szCs w:val="24"/>
          <w:highlight w:val="none"/>
        </w:rPr>
        <w:t xml:space="preserve"> </w:t>
      </w:r>
      <w:bookmarkEnd w:id="88"/>
      <w:bookmarkStart w:id="89" w:name="EBb2df94ebcdbf407198bda0aab79b3c4e"/>
      <w:r>
        <w:rPr>
          <w:rFonts w:hint="eastAsia" w:ascii="宋体" w:hAnsi="宋体" w:eastAsia="宋体" w:cs="宋体"/>
          <w:color w:val="auto"/>
          <w:sz w:val="24"/>
          <w:szCs w:val="24"/>
          <w:highlight w:val="none"/>
        </w:rPr>
        <w:t xml:space="preserve"> </w:t>
      </w:r>
      <w:bookmarkEnd w:id="89"/>
    </w:p>
    <w:p w14:paraId="52884864">
      <w:pPr>
        <w:pStyle w:val="7"/>
        <w:spacing w:before="0" w:after="0" w:line="440" w:lineRule="exact"/>
        <w:rPr>
          <w:rFonts w:hint="eastAsia" w:ascii="宋体" w:hAnsi="宋体" w:eastAsia="宋体" w:cs="宋体"/>
          <w:color w:val="auto"/>
          <w:sz w:val="24"/>
          <w:szCs w:val="24"/>
          <w:highlight w:val="none"/>
        </w:rPr>
      </w:pPr>
      <w:bookmarkStart w:id="90" w:name="_Toc966147"/>
      <w:bookmarkStart w:id="91" w:name="_Toc129095613"/>
      <w:bookmarkStart w:id="92" w:name="_Toc6242763"/>
      <w:bookmarkStart w:id="93" w:name="_Toc129095508"/>
      <w:r>
        <w:rPr>
          <w:rFonts w:hint="eastAsia" w:ascii="宋体" w:hAnsi="宋体" w:eastAsia="宋体" w:cs="宋体"/>
          <w:color w:val="auto"/>
          <w:sz w:val="24"/>
          <w:szCs w:val="24"/>
          <w:highlight w:val="none"/>
        </w:rPr>
        <w:t>六、中标信息公布</w:t>
      </w:r>
      <w:bookmarkEnd w:id="90"/>
      <w:bookmarkEnd w:id="91"/>
      <w:bookmarkEnd w:id="92"/>
      <w:bookmarkEnd w:id="93"/>
    </w:p>
    <w:p w14:paraId="5BBA7A3D">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31.</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中标通知书与中标信息公布</w:t>
      </w:r>
    </w:p>
    <w:p w14:paraId="03602E70">
      <w:pPr>
        <w:adjustRightInd w:val="0"/>
        <w:snapToGrid w:val="0"/>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31.1采购代理机构应当在评标结束后2个工作日内将</w:t>
      </w:r>
      <w:r>
        <w:rPr>
          <w:rFonts w:hint="eastAsia" w:ascii="宋体" w:hAnsi="宋体" w:eastAsia="宋体" w:cs="宋体"/>
          <w:bCs/>
          <w:color w:val="auto"/>
          <w:sz w:val="24"/>
          <w:szCs w:val="24"/>
          <w:highlight w:val="none"/>
        </w:rPr>
        <w:t>资格审查报告和评标报告送采购人。</w:t>
      </w:r>
    </w:p>
    <w:p w14:paraId="1C0B6C02">
      <w:pPr>
        <w:adjustRightInd w:val="0"/>
        <w:snapToGrid w:val="0"/>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31.2采购人应当自收到资格审查报告和评标报告之日起</w:t>
      </w:r>
      <w:r>
        <w:rPr>
          <w:rFonts w:hint="eastAsia" w:ascii="宋体" w:hAnsi="宋体" w:eastAsia="宋体" w:cs="宋体"/>
          <w:bCs/>
          <w:color w:val="auto"/>
          <w:sz w:val="24"/>
          <w:szCs w:val="24"/>
          <w:highlight w:val="none"/>
          <w:lang w:eastAsia="zh-CN"/>
        </w:rPr>
        <w:t>5</w:t>
      </w:r>
      <w:r>
        <w:rPr>
          <w:rFonts w:hint="eastAsia" w:ascii="宋体" w:hAnsi="宋体" w:eastAsia="宋体" w:cs="宋体"/>
          <w:bCs/>
          <w:color w:val="auto"/>
          <w:sz w:val="24"/>
          <w:szCs w:val="24"/>
          <w:highlight w:val="none"/>
        </w:rPr>
        <w:t>个工作日内，在评标报告确定的中标候选人名单中按顺序确定中标人。中标候选人并列的，由采购人或者采购人委托评标委员会按照【</w:t>
      </w:r>
      <w:r>
        <w:rPr>
          <w:rFonts w:hint="eastAsia" w:ascii="宋体" w:hAnsi="宋体" w:eastAsia="宋体" w:cs="宋体"/>
          <w:b/>
          <w:bCs/>
          <w:color w:val="auto"/>
          <w:sz w:val="24"/>
          <w:szCs w:val="24"/>
          <w:highlight w:val="none"/>
        </w:rPr>
        <w:t>投标须知前附表</w:t>
      </w:r>
      <w:r>
        <w:rPr>
          <w:rFonts w:hint="eastAsia" w:ascii="宋体" w:hAnsi="宋体" w:eastAsia="宋体" w:cs="宋体"/>
          <w:bCs/>
          <w:color w:val="auto"/>
          <w:sz w:val="24"/>
          <w:szCs w:val="24"/>
          <w:highlight w:val="none"/>
        </w:rPr>
        <w:t>】规定的方式确定中标人；招标文件未规定的，采取随机抽取的方式确定。</w:t>
      </w:r>
    </w:p>
    <w:p w14:paraId="4395620B">
      <w:pPr>
        <w:adjustRightInd w:val="0"/>
        <w:snapToGrid w:val="0"/>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31.3采购代理机构应当自采购人确定中标投标人之日起2个工作日内，发出中标通知书，并在招标文件指定的媒体公告中标结果，招标文件随中标结果同时公告，中标结果公告期限为</w:t>
      </w:r>
      <w:r>
        <w:rPr>
          <w:rFonts w:hint="eastAsia" w:ascii="宋体" w:hAnsi="宋体" w:eastAsia="宋体" w:cs="宋体"/>
          <w:bCs/>
          <w:color w:val="auto"/>
          <w:sz w:val="24"/>
          <w:szCs w:val="24"/>
          <w:highlight w:val="none"/>
          <w:lang w:eastAsia="zh-CN"/>
        </w:rPr>
        <w:t>1</w:t>
      </w:r>
      <w:r>
        <w:rPr>
          <w:rFonts w:hint="eastAsia" w:ascii="宋体" w:hAnsi="宋体" w:eastAsia="宋体" w:cs="宋体"/>
          <w:bCs/>
          <w:color w:val="auto"/>
          <w:sz w:val="24"/>
          <w:szCs w:val="24"/>
          <w:highlight w:val="none"/>
        </w:rPr>
        <w:t>个工作日。</w:t>
      </w:r>
    </w:p>
    <w:p w14:paraId="3DC9F604">
      <w:pPr>
        <w:adjustRightInd w:val="0"/>
        <w:snapToGrid w:val="0"/>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31.4采用综合评分法评审的，还应当告知未中标人本人的评审得分与排序。</w:t>
      </w:r>
    </w:p>
    <w:p w14:paraId="4D8F519A">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32.</w:t>
      </w:r>
      <w:r>
        <w:rPr>
          <w:rFonts w:hint="eastAsia" w:ascii="宋体" w:hAnsi="宋体" w:eastAsia="宋体" w:cs="宋体"/>
          <w:b/>
          <w:color w:val="auto"/>
          <w:sz w:val="24"/>
          <w:szCs w:val="24"/>
          <w:highlight w:val="none"/>
        </w:rPr>
        <w:t xml:space="preserve"> 投标人询问及</w:t>
      </w:r>
      <w:r>
        <w:rPr>
          <w:rFonts w:hint="eastAsia" w:ascii="宋体" w:hAnsi="宋体" w:eastAsia="宋体" w:cs="宋体"/>
          <w:b/>
          <w:bCs/>
          <w:color w:val="auto"/>
          <w:sz w:val="24"/>
          <w:szCs w:val="24"/>
          <w:highlight w:val="none"/>
        </w:rPr>
        <w:t>质疑</w:t>
      </w:r>
    </w:p>
    <w:p w14:paraId="66E0063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32.1投标人对政府采购活动事项有疑问的，可以向采购人或采购代理机构提出询问。采购人或采购代理机构将在3个工作日内作出答复。</w:t>
      </w:r>
    </w:p>
    <w:p w14:paraId="388B320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32.2投标人认为招标文件、采购过程和中标结果使自己的权益受到损害的，可以在知道或者应知其权益受到损害之日起7个工作日内，以书面形式向采购人提出质疑。</w:t>
      </w:r>
    </w:p>
    <w:p w14:paraId="02B9CBDD">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32.3本章第32.2款所称投标人应知其权益受到损害之日，是指：</w:t>
      </w:r>
    </w:p>
    <w:p w14:paraId="1CA01879">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（1）对可以质疑的招标文件提出质疑的，为收到招标文件之日或者招标公告期限届满之日；</w:t>
      </w:r>
    </w:p>
    <w:p w14:paraId="6C900C21">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（2）对采购过程提出质疑的，为各采购程序环节结束之日；</w:t>
      </w:r>
    </w:p>
    <w:p w14:paraId="4E95F47C">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（3）对中标结果提出质疑的，为中标结果公告期限届满之日。</w:t>
      </w:r>
    </w:p>
    <w:p w14:paraId="4A07487B">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32.4投标人提出质疑的，应提供质疑书原件。采购人或采购代理机构应当向质疑投标人签收回执。</w:t>
      </w:r>
    </w:p>
    <w:p w14:paraId="00A7A094">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32.5质疑书应当包括下列内容：</w:t>
      </w:r>
    </w:p>
    <w:p w14:paraId="20FE9376">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（1）质疑投标人的名称、地址及有效联系方式；</w:t>
      </w:r>
    </w:p>
    <w:p w14:paraId="170AB93D">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（2）质疑事项；</w:t>
      </w:r>
    </w:p>
    <w:p w14:paraId="3065ED84">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（3）事实依据及相关证明材料；</w:t>
      </w:r>
    </w:p>
    <w:p w14:paraId="1666922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（4）相关请求及主张。</w:t>
      </w:r>
    </w:p>
    <w:p w14:paraId="6389651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32.6质疑书应当由投标人法定代表人或其授权的代理人签字并加盖投标人单位章。质疑书由授权代理人签字的应附投标人法定代表人委托授权书。</w:t>
      </w:r>
    </w:p>
    <w:p w14:paraId="2B3F52B7">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32.7采购人或采购代理机构将在签收回执之日起7个工作日内作出书面答复，并以书面形式通知质疑投标人和其他有关的投标人。</w:t>
      </w:r>
    </w:p>
    <w:p w14:paraId="140CCC5D">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32.8</w:t>
      </w:r>
      <w:r>
        <w:rPr>
          <w:rFonts w:hint="eastAsia" w:ascii="宋体" w:hAnsi="宋体" w:eastAsia="宋体" w:cs="Times New Roman"/>
          <w:color w:val="auto"/>
          <w:sz w:val="24"/>
          <w:szCs w:val="24"/>
          <w:highlight w:val="none"/>
        </w:rPr>
        <w:t>供应商提出质疑的，应以书面形式（能够有形地表现所载内容，并可以随时调取查用的数据电文，视为符合</w:t>
      </w:r>
      <w:r>
        <w:rPr>
          <w:rFonts w:hint="eastAsia" w:ascii="宋体" w:hAnsi="宋体" w:eastAsia="宋体" w:cs="Times New Roman"/>
          <w:color w:val="auto"/>
          <w:sz w:val="24"/>
          <w:szCs w:val="24"/>
          <w:highlight w:val="none"/>
          <w:lang w:eastAsia="zh-CN"/>
        </w:rPr>
        <w:t>法律法规</w:t>
      </w:r>
      <w:r>
        <w:rPr>
          <w:rFonts w:hint="eastAsia" w:ascii="宋体" w:hAnsi="宋体" w:eastAsia="宋体" w:cs="Times New Roman"/>
          <w:color w:val="auto"/>
          <w:sz w:val="24"/>
          <w:szCs w:val="24"/>
          <w:highlight w:val="none"/>
        </w:rPr>
        <w:t>要求的书面形式。）向采购人提出质疑。采购人应当向质疑供应商签收回执</w:t>
      </w:r>
      <w:r>
        <w:rPr>
          <w:rFonts w:hint="eastAsia" w:ascii="宋体" w:hAnsi="宋体" w:eastAsia="宋体" w:cs="宋体"/>
          <w:color w:val="auto"/>
          <w:sz w:val="24"/>
          <w:szCs w:val="24"/>
          <w:highlight w:val="none"/>
        </w:rPr>
        <w:t>。</w:t>
      </w:r>
    </w:p>
    <w:p w14:paraId="0D9221E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32.9以联合体形式参加政府采购活动的，联合体组成后提出的质疑事项应当由组成联合体的所有供应商共同提出。</w:t>
      </w:r>
    </w:p>
    <w:p w14:paraId="6D0B72A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32.10 质疑函按中国政府采购网（www.ccgp.gov.cn）“下载专区”的“政府采购供应质疑函范本”和“质疑函制作说明”制作。</w:t>
      </w:r>
    </w:p>
    <w:p w14:paraId="640F8562">
      <w:pPr>
        <w:pStyle w:val="7"/>
        <w:spacing w:before="0" w:after="0" w:line="440" w:lineRule="exact"/>
        <w:rPr>
          <w:rFonts w:hint="eastAsia" w:ascii="宋体" w:hAnsi="宋体" w:eastAsia="宋体" w:cs="宋体"/>
          <w:color w:val="auto"/>
          <w:sz w:val="24"/>
          <w:szCs w:val="24"/>
          <w:highlight w:val="none"/>
        </w:rPr>
      </w:pPr>
      <w:bookmarkStart w:id="94" w:name="_Toc129095509"/>
      <w:bookmarkStart w:id="95" w:name="_Toc129095614"/>
      <w:bookmarkStart w:id="96" w:name="_Toc6242764"/>
      <w:bookmarkStart w:id="97" w:name="_Toc966148"/>
      <w:r>
        <w:rPr>
          <w:rFonts w:hint="eastAsia" w:ascii="宋体" w:hAnsi="宋体" w:eastAsia="宋体" w:cs="宋体"/>
          <w:color w:val="auto"/>
          <w:sz w:val="24"/>
          <w:szCs w:val="24"/>
          <w:highlight w:val="none"/>
        </w:rPr>
        <w:t>七、合同签订</w:t>
      </w:r>
      <w:bookmarkEnd w:id="94"/>
      <w:bookmarkEnd w:id="95"/>
      <w:bookmarkEnd w:id="96"/>
      <w:bookmarkEnd w:id="97"/>
    </w:p>
    <w:p w14:paraId="05653556">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33. 签订合同</w:t>
      </w:r>
    </w:p>
    <w:p w14:paraId="553EEBDB">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33.1 采购人应自中标通知书发出之日起30日内，按中标通知书指定的时间、地点与中标人签订政府采购合同。所签订的合同不得对招标文件确定的事项和中标人投标文件作实质性修改。</w:t>
      </w:r>
    </w:p>
    <w:p w14:paraId="44AB1B49">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33.2 招标文件、中标人的投标文件均为签订合同的依据。</w:t>
      </w:r>
    </w:p>
    <w:p w14:paraId="58F93B46">
      <w:pPr>
        <w:adjustRightInd w:val="0"/>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微软雅黑"/>
          <w:color w:val="auto"/>
          <w:kern w:val="0"/>
          <w:sz w:val="24"/>
          <w:szCs w:val="24"/>
          <w:highlight w:val="none"/>
        </w:rPr>
        <w:t xml:space="preserve">33.3 </w:t>
      </w:r>
      <w:r>
        <w:rPr>
          <w:rFonts w:hint="eastAsia" w:ascii="宋体" w:hAnsi="宋体" w:eastAsia="宋体" w:cs="Times New Roman"/>
          <w:color w:val="auto"/>
          <w:sz w:val="24"/>
          <w:szCs w:val="24"/>
          <w:highlight w:val="none"/>
        </w:rPr>
        <w:t>联合体中标的，联合体各方应当共同与采购人签订合同，就中标项目向采购人承担连带责任。</w:t>
      </w:r>
    </w:p>
    <w:p w14:paraId="3ADA3EE8">
      <w:pPr>
        <w:adjustRightInd w:val="0"/>
        <w:snapToGrid w:val="0"/>
        <w:spacing w:line="360" w:lineRule="auto"/>
        <w:ind w:firstLine="480" w:firstLineChars="200"/>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 xml:space="preserve"> 中标合同将在招标文件指定的媒体上公告，但合同中涉及国家秘密、商业秘密的内容除外。</w:t>
      </w:r>
    </w:p>
    <w:p w14:paraId="2BF15B56">
      <w:pPr>
        <w:adjustRightInd w:val="0"/>
        <w:snapToGrid w:val="0"/>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33.5 中标人应当按照合同约定依法履行合同义务。政府采购合同的履行、违约责任和解决争议的方法等适用《中华人民共和国民法典》。</w:t>
      </w:r>
    </w:p>
    <w:p w14:paraId="0EF008F9">
      <w:pPr>
        <w:adjustRightInd w:val="0"/>
        <w:snapToGrid w:val="0"/>
        <w:spacing w:line="360" w:lineRule="auto"/>
        <w:rPr>
          <w:rFonts w:hint="eastAsia" w:ascii="宋体" w:hAnsi="宋体" w:eastAsia="宋体" w:cs="宋体"/>
          <w:b/>
          <w:color w:val="auto"/>
          <w:kern w:val="0"/>
          <w:sz w:val="24"/>
          <w:szCs w:val="24"/>
          <w:highlight w:val="none"/>
        </w:rPr>
      </w:pPr>
      <w:r>
        <w:rPr>
          <w:rFonts w:hint="eastAsia" w:ascii="宋体" w:hAnsi="宋体" w:eastAsia="宋体" w:cs="宋体"/>
          <w:b/>
          <w:bCs/>
          <w:color w:val="auto"/>
          <w:sz w:val="24"/>
          <w:szCs w:val="24"/>
          <w:highlight w:val="none"/>
        </w:rPr>
        <w:t>34.</w:t>
      </w:r>
      <w:r>
        <w:rPr>
          <w:rFonts w:hint="eastAsia" w:ascii="宋体" w:hAnsi="宋体" w:eastAsia="宋体" w:cs="宋体"/>
          <w:b/>
          <w:color w:val="auto"/>
          <w:kern w:val="0"/>
          <w:sz w:val="24"/>
          <w:szCs w:val="24"/>
          <w:highlight w:val="none"/>
        </w:rPr>
        <w:t xml:space="preserve"> 履约担保</w:t>
      </w:r>
    </w:p>
    <w:p w14:paraId="33DAF5D0">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根据《关于进一步优化营商环境促进政府采购提速增效相关事项的通知》要求，为进一步降低交易成本费用，减轻企业资金负担，取消政府采购项目的履约担保。</w:t>
      </w:r>
    </w:p>
    <w:p w14:paraId="710FCF13">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35.</w:t>
      </w:r>
      <w:r>
        <w:rPr>
          <w:rFonts w:hint="eastAsia" w:ascii="宋体" w:hAnsi="宋体" w:eastAsia="宋体" w:cs="宋体"/>
          <w:b/>
          <w:color w:val="auto"/>
          <w:sz w:val="24"/>
          <w:szCs w:val="24"/>
          <w:highlight w:val="none"/>
        </w:rPr>
        <w:t xml:space="preserve"> 政府采购合同履行中</w:t>
      </w:r>
      <w:r>
        <w:rPr>
          <w:rFonts w:hint="eastAsia" w:ascii="宋体" w:hAnsi="宋体" w:eastAsia="宋体" w:cs="宋体"/>
          <w:b/>
          <w:bCs/>
          <w:color w:val="auto"/>
          <w:sz w:val="24"/>
          <w:szCs w:val="24"/>
          <w:highlight w:val="none"/>
        </w:rPr>
        <w:t>数量的变更</w:t>
      </w:r>
    </w:p>
    <w:p w14:paraId="473B4567">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本项目不适用。</w:t>
      </w:r>
    </w:p>
    <w:p w14:paraId="30A3F1E8">
      <w:pPr>
        <w:spacing w:line="440" w:lineRule="exact"/>
        <w:rPr>
          <w:rFonts w:hint="eastAsia" w:ascii="宋体" w:hAnsi="宋体" w:eastAsia="宋体" w:cs="宋体"/>
          <w:color w:val="auto"/>
          <w:sz w:val="24"/>
          <w:szCs w:val="24"/>
          <w:highlight w:val="none"/>
        </w:rPr>
      </w:pPr>
      <w:bookmarkStart w:id="98" w:name="EBd910b525df774a3bb3d12a497d0b732c"/>
      <w:r>
        <w:rPr>
          <w:rFonts w:hint="eastAsia" w:ascii="宋体" w:hAnsi="宋体" w:eastAsia="宋体" w:cs="宋体"/>
          <w:color w:val="auto"/>
          <w:sz w:val="24"/>
          <w:szCs w:val="24"/>
          <w:highlight w:val="none"/>
        </w:rPr>
        <w:t xml:space="preserve"> </w:t>
      </w:r>
      <w:bookmarkEnd w:id="98"/>
      <w:bookmarkStart w:id="99" w:name="EBbdc510b1385043cc9a61bff0870fd89f"/>
      <w:r>
        <w:rPr>
          <w:rFonts w:hint="eastAsia" w:ascii="宋体" w:hAnsi="宋体" w:eastAsia="宋体" w:cs="宋体"/>
          <w:color w:val="auto"/>
          <w:sz w:val="24"/>
          <w:szCs w:val="24"/>
          <w:highlight w:val="none"/>
        </w:rPr>
        <w:t xml:space="preserve"> </w:t>
      </w:r>
      <w:bookmarkEnd w:id="99"/>
      <w:bookmarkStart w:id="100" w:name="EBf22d9f33a6f84b8ba2de6b4df535e062"/>
      <w:r>
        <w:rPr>
          <w:rFonts w:hint="eastAsia" w:ascii="宋体" w:hAnsi="宋体" w:eastAsia="宋体" w:cs="宋体"/>
          <w:color w:val="auto"/>
          <w:sz w:val="24"/>
          <w:szCs w:val="24"/>
          <w:highlight w:val="none"/>
        </w:rPr>
        <w:t xml:space="preserve"> </w:t>
      </w:r>
      <w:bookmarkEnd w:id="100"/>
    </w:p>
    <w:p w14:paraId="60BE8DC4">
      <w:pPr>
        <w:pStyle w:val="7"/>
        <w:spacing w:before="0" w:after="0" w:line="440" w:lineRule="exact"/>
        <w:rPr>
          <w:rFonts w:hint="eastAsia" w:ascii="宋体" w:hAnsi="宋体" w:eastAsia="宋体" w:cs="宋体"/>
          <w:color w:val="auto"/>
          <w:sz w:val="24"/>
          <w:szCs w:val="24"/>
          <w:highlight w:val="none"/>
        </w:rPr>
      </w:pPr>
      <w:bookmarkStart w:id="101" w:name="_Toc129095510"/>
      <w:bookmarkStart w:id="102" w:name="_Toc129095615"/>
      <w:bookmarkStart w:id="103" w:name="_Toc6242765"/>
      <w:r>
        <w:rPr>
          <w:rFonts w:hint="eastAsia" w:ascii="宋体" w:hAnsi="宋体" w:eastAsia="宋体" w:cs="宋体"/>
          <w:color w:val="auto"/>
          <w:sz w:val="24"/>
          <w:szCs w:val="24"/>
          <w:highlight w:val="none"/>
        </w:rPr>
        <w:t>八、其他规定</w:t>
      </w:r>
      <w:bookmarkEnd w:id="101"/>
      <w:bookmarkEnd w:id="102"/>
      <w:bookmarkEnd w:id="103"/>
    </w:p>
    <w:p w14:paraId="79AC86C0">
      <w:pPr>
        <w:adjustRightInd w:val="0"/>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36.</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政府采购政策</w:t>
      </w:r>
      <w:r>
        <w:rPr>
          <w:rFonts w:hint="eastAsia" w:ascii="宋体" w:hAnsi="宋体" w:eastAsia="宋体" w:cs="宋体"/>
          <w:color w:val="auto"/>
          <w:sz w:val="24"/>
          <w:szCs w:val="24"/>
          <w:highlight w:val="none"/>
        </w:rPr>
        <w:t>（不适用）</w:t>
      </w:r>
    </w:p>
    <w:p w14:paraId="5983F535">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37.</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招标不足三家处理</w:t>
      </w:r>
    </w:p>
    <w:p w14:paraId="150F3F0D">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37.1公开招标数额标准以上的采购项目，投标截止后投标人不足3家或者通过资格审查或符合性审查的投标人不足3家的，除采购任务取消情形外，按照以下方式处理：</w:t>
      </w:r>
    </w:p>
    <w:p w14:paraId="7C831EE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（1）招标文件存在不合理条款或者招标程序不符合规定的，采购人、采购代理机构改正后依法重新招标；</w:t>
      </w:r>
    </w:p>
    <w:p w14:paraId="04A5DDDE">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（2）招标文件没有不合理条款、招标程序符合规定，需要采用其他采购方式采购的，采购人应当依法报批。</w:t>
      </w:r>
    </w:p>
    <w:p w14:paraId="101C7933">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37.2属上款第（2）项情形的，评标委员会应出具的招标文件没有不合理条款的论证意见。</w:t>
      </w:r>
    </w:p>
    <w:p w14:paraId="5CDAD73A">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38.</w:t>
      </w:r>
      <w:r>
        <w:rPr>
          <w:rFonts w:hint="eastAsia" w:ascii="宋体" w:hAnsi="宋体" w:eastAsia="宋体" w:cs="宋体"/>
          <w:b/>
          <w:color w:val="auto"/>
          <w:sz w:val="24"/>
          <w:szCs w:val="24"/>
          <w:highlight w:val="none"/>
        </w:rPr>
        <w:t xml:space="preserve"> 招标代理委托内容及服务费</w:t>
      </w:r>
    </w:p>
    <w:p w14:paraId="6F6EF71E">
      <w:pPr>
        <w:adjustRightInd w:val="0"/>
        <w:snapToGrid w:val="0"/>
        <w:spacing w:line="4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38.1招标代理委托内容</w:t>
      </w:r>
      <w:r>
        <w:rPr>
          <w:rFonts w:hint="eastAsia" w:ascii="宋体" w:hAnsi="宋体" w:eastAsia="宋体" w:cs="宋体"/>
          <w:b/>
          <w:color w:val="auto"/>
          <w:sz w:val="24"/>
          <w:szCs w:val="24"/>
          <w:highlight w:val="none"/>
        </w:rPr>
        <w:t>：</w:t>
      </w:r>
    </w:p>
    <w:p w14:paraId="2F29C035">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详见第一章。</w:t>
      </w:r>
    </w:p>
    <w:p w14:paraId="07E0B688">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38.2本项目招标代理服务费由中标人向代理机构支付。</w:t>
      </w:r>
    </w:p>
    <w:p w14:paraId="5A8E270D">
      <w:pPr>
        <w:adjustRightInd w:val="0"/>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39.</w:t>
      </w:r>
      <w:r>
        <w:rPr>
          <w:rFonts w:hint="eastAsia" w:ascii="宋体" w:hAnsi="宋体" w:eastAsia="宋体" w:cs="宋体"/>
          <w:b/>
          <w:color w:val="auto"/>
          <w:sz w:val="24"/>
          <w:szCs w:val="24"/>
          <w:highlight w:val="none"/>
        </w:rPr>
        <w:t xml:space="preserve"> 需要补充的其他内容</w:t>
      </w:r>
    </w:p>
    <w:p w14:paraId="4116B1CA">
      <w:pPr>
        <w:adjustRightInd w:val="0"/>
        <w:snapToGrid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39.1招标文件需要补充的其他内容见</w:t>
      </w:r>
      <w:r>
        <w:rPr>
          <w:rFonts w:hint="eastAsia" w:ascii="宋体" w:hAnsi="宋体" w:eastAsia="宋体" w:cs="宋体"/>
          <w:b/>
          <w:color w:val="auto"/>
          <w:sz w:val="24"/>
          <w:szCs w:val="24"/>
          <w:highlight w:val="none"/>
        </w:rPr>
        <w:t>【投标须知前附表】</w:t>
      </w:r>
      <w:r>
        <w:rPr>
          <w:rFonts w:hint="eastAsia" w:ascii="宋体" w:hAnsi="宋体" w:eastAsia="宋体" w:cs="宋体"/>
          <w:color w:val="auto"/>
          <w:sz w:val="24"/>
          <w:szCs w:val="24"/>
          <w:highlight w:val="none"/>
        </w:rPr>
        <w:t>。</w:t>
      </w:r>
    </w:p>
    <w:p w14:paraId="4F52B856">
      <w:pPr>
        <w:adjustRightInd w:val="0"/>
        <w:snapToGrid w:val="0"/>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39.2供应商应当在法定质疑期内一次性提出针对同一采购程序环节的质疑。</w:t>
      </w:r>
    </w:p>
    <w:p w14:paraId="680A2353">
      <w:pPr>
        <w:rPr>
          <w:rFonts w:hint="eastAsia" w:ascii="宋体" w:hAnsi="宋体" w:eastAsia="宋体" w:cs="宋体"/>
          <w:color w:val="auto"/>
          <w:highlight w:val="none"/>
        </w:rPr>
      </w:pPr>
      <w:bookmarkStart w:id="104" w:name="EB06ade1fae0e040139cd683120535b63a"/>
      <w:r>
        <w:rPr>
          <w:rFonts w:hint="eastAsia" w:ascii="宋体" w:hAnsi="宋体" w:eastAsia="宋体" w:cs="宋体"/>
          <w:color w:val="auto"/>
          <w:sz w:val="20"/>
          <w:highlight w:val="none"/>
        </w:rPr>
        <w:t xml:space="preserve"> </w:t>
      </w:r>
      <w:bookmarkEnd w:id="104"/>
    </w:p>
    <w:p w14:paraId="79EEADC9">
      <w:pPr>
        <w:rPr>
          <w:rFonts w:hint="eastAsia" w:ascii="宋体" w:hAnsi="宋体" w:eastAsia="宋体" w:cs="宋体"/>
          <w:color w:val="auto"/>
          <w:sz w:val="20"/>
          <w:highlight w:val="none"/>
        </w:rPr>
      </w:pPr>
      <w:bookmarkStart w:id="105" w:name="EBb5a1786fb7bb49e9be9971197a3c79f4"/>
      <w:bookmarkStart w:id="106" w:name="_Toc966149"/>
      <w:r>
        <w:rPr>
          <w:rFonts w:hint="eastAsia" w:ascii="宋体" w:hAnsi="宋体" w:eastAsia="宋体" w:cs="宋体"/>
          <w:color w:val="auto"/>
          <w:sz w:val="20"/>
          <w:highlight w:val="none"/>
        </w:rPr>
        <w:t xml:space="preserve"> </w:t>
      </w:r>
      <w:bookmarkEnd w:id="105"/>
    </w:p>
    <w:p w14:paraId="3D4EA77A">
      <w:pPr>
        <w:pStyle w:val="2"/>
        <w:ind w:firstLine="400"/>
        <w:jc w:val="center"/>
        <w:rPr>
          <w:rFonts w:hint="eastAsia" w:ascii="宋体" w:hAnsi="宋体" w:eastAsia="宋体" w:cs="宋体"/>
          <w:b/>
          <w:color w:val="auto"/>
          <w:sz w:val="32"/>
          <w:szCs w:val="32"/>
          <w:highlight w:val="none"/>
        </w:rPr>
      </w:pPr>
      <w:r>
        <w:rPr>
          <w:rFonts w:hint="eastAsia" w:ascii="宋体" w:hAnsi="宋体" w:eastAsia="宋体" w:cs="宋体"/>
          <w:color w:val="auto"/>
          <w:highlight w:val="none"/>
        </w:rPr>
        <w:br w:type="page"/>
      </w:r>
      <w:bookmarkStart w:id="107" w:name="_Toc6242766"/>
      <w:bookmarkStart w:id="108" w:name="_Toc129095616"/>
      <w:bookmarkStart w:id="109" w:name="_Toc129095511"/>
      <w:r>
        <w:rPr>
          <w:rFonts w:hint="eastAsia" w:ascii="宋体" w:hAnsi="宋体" w:eastAsia="宋体" w:cs="宋体"/>
          <w:b/>
          <w:color w:val="auto"/>
          <w:sz w:val="32"/>
          <w:szCs w:val="32"/>
          <w:highlight w:val="none"/>
        </w:rPr>
        <w:t>第三章 评标方法及标准（综合评分法）</w:t>
      </w:r>
      <w:bookmarkEnd w:id="106"/>
      <w:bookmarkEnd w:id="107"/>
      <w:bookmarkEnd w:id="108"/>
      <w:bookmarkEnd w:id="109"/>
    </w:p>
    <w:p w14:paraId="04333C15">
      <w:pPr>
        <w:pStyle w:val="6"/>
        <w:jc w:val="center"/>
        <w:rPr>
          <w:rFonts w:hint="eastAsia" w:ascii="宋体" w:hAnsi="宋体" w:eastAsia="宋体" w:cs="宋体"/>
          <w:b w:val="0"/>
          <w:color w:val="auto"/>
          <w:sz w:val="28"/>
          <w:szCs w:val="28"/>
          <w:highlight w:val="none"/>
        </w:rPr>
      </w:pPr>
      <w:bookmarkStart w:id="110" w:name="_Toc129095512"/>
      <w:bookmarkStart w:id="111" w:name="_Toc129095617"/>
      <w:bookmarkStart w:id="112" w:name="_Toc6242767"/>
      <w:bookmarkStart w:id="113" w:name="_Toc966150"/>
      <w:r>
        <w:rPr>
          <w:rFonts w:hint="eastAsia" w:ascii="宋体" w:hAnsi="宋体" w:eastAsia="宋体" w:cs="宋体"/>
          <w:b w:val="0"/>
          <w:color w:val="auto"/>
          <w:sz w:val="28"/>
          <w:szCs w:val="28"/>
          <w:highlight w:val="none"/>
        </w:rPr>
        <w:t>评标方法及标准前附表</w:t>
      </w:r>
      <w:bookmarkEnd w:id="110"/>
      <w:bookmarkEnd w:id="111"/>
      <w:bookmarkEnd w:id="112"/>
      <w:bookmarkEnd w:id="113"/>
    </w:p>
    <w:p w14:paraId="0E4E429D">
      <w:pPr>
        <w:rPr>
          <w:rFonts w:hint="eastAsia" w:ascii="宋体" w:hAnsi="宋体" w:eastAsia="宋体" w:cs="宋体"/>
          <w:color w:val="auto"/>
          <w:highlight w:val="none"/>
        </w:rPr>
      </w:pPr>
      <w:bookmarkStart w:id="114" w:name="EB3d8b72ac072d4be5bc86b83582300769"/>
      <w:r>
        <w:rPr>
          <w:rFonts w:hint="eastAsia" w:ascii="宋体" w:hAnsi="宋体" w:eastAsia="宋体" w:cs="宋体"/>
          <w:color w:val="auto"/>
          <w:sz w:val="20"/>
          <w:highlight w:val="none"/>
        </w:rPr>
        <w:t xml:space="preserve"> </w:t>
      </w:r>
      <w:bookmarkEnd w:id="114"/>
      <w:bookmarkStart w:id="115" w:name="EBece544930cd0437f8bd451fea0ad89e1"/>
      <w:r>
        <w:rPr>
          <w:rFonts w:hint="eastAsia" w:ascii="宋体" w:hAnsi="宋体" w:eastAsia="宋体" w:cs="宋体"/>
          <w:color w:val="auto"/>
          <w:sz w:val="20"/>
          <w:highlight w:val="none"/>
        </w:rPr>
        <w:t xml:space="preserve"> </w:t>
      </w:r>
      <w:bookmarkEnd w:id="115"/>
    </w:p>
    <w:tbl>
      <w:tblPr>
        <w:tblStyle w:val="1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2127"/>
        <w:gridCol w:w="6520"/>
      </w:tblGrid>
      <w:tr w14:paraId="5E01A1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noWrap w:val="0"/>
            <w:vAlign w:val="top"/>
          </w:tcPr>
          <w:p w14:paraId="2B091F66">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2127" w:type="dxa"/>
            <w:noWrap w:val="0"/>
            <w:vAlign w:val="top"/>
          </w:tcPr>
          <w:p w14:paraId="417CC348">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条款名称</w:t>
            </w:r>
          </w:p>
        </w:tc>
        <w:tc>
          <w:tcPr>
            <w:tcW w:w="6520" w:type="dxa"/>
            <w:noWrap w:val="0"/>
            <w:vAlign w:val="top"/>
          </w:tcPr>
          <w:p w14:paraId="144073C6">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编列内容规定</w:t>
            </w:r>
          </w:p>
        </w:tc>
      </w:tr>
      <w:tr w14:paraId="32968A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trPr>
        <w:tc>
          <w:tcPr>
            <w:tcW w:w="1701" w:type="dxa"/>
            <w:noWrap w:val="0"/>
            <w:vAlign w:val="center"/>
          </w:tcPr>
          <w:p w14:paraId="31B4BA5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w:t>
            </w:r>
            <w:r>
              <w:rPr>
                <w:rFonts w:hint="eastAsia" w:ascii="宋体" w:hAnsi="宋体" w:eastAsia="宋体" w:cs="宋体"/>
                <w:color w:val="auto"/>
                <w:kern w:val="0"/>
                <w:sz w:val="24"/>
                <w:szCs w:val="24"/>
                <w:highlight w:val="none"/>
                <w:lang w:val="zh-CN"/>
              </w:rPr>
              <w:t>款</w:t>
            </w:r>
          </w:p>
        </w:tc>
        <w:tc>
          <w:tcPr>
            <w:tcW w:w="2127" w:type="dxa"/>
            <w:noWrap w:val="0"/>
            <w:vAlign w:val="center"/>
          </w:tcPr>
          <w:p w14:paraId="469E9F2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评标因素和标准</w:t>
            </w:r>
          </w:p>
        </w:tc>
        <w:tc>
          <w:tcPr>
            <w:tcW w:w="6520" w:type="dxa"/>
            <w:noWrap w:val="0"/>
            <w:vAlign w:val="center"/>
          </w:tcPr>
          <w:p w14:paraId="42B2E64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见“关键信息”</w:t>
            </w:r>
          </w:p>
        </w:tc>
      </w:tr>
      <w:tr w14:paraId="13DF23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noWrap w:val="0"/>
            <w:vAlign w:val="center"/>
          </w:tcPr>
          <w:p w14:paraId="0A489D7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第4.2</w:t>
            </w:r>
            <w:r>
              <w:rPr>
                <w:rFonts w:hint="eastAsia" w:ascii="宋体" w:hAnsi="宋体" w:eastAsia="宋体" w:cs="宋体"/>
                <w:color w:val="auto"/>
                <w:kern w:val="0"/>
                <w:sz w:val="24"/>
                <w:szCs w:val="24"/>
                <w:highlight w:val="none"/>
                <w:lang w:val="zh-CN"/>
              </w:rPr>
              <w:t>款</w:t>
            </w:r>
          </w:p>
        </w:tc>
        <w:tc>
          <w:tcPr>
            <w:tcW w:w="2127" w:type="dxa"/>
            <w:noWrap w:val="0"/>
            <w:vAlign w:val="center"/>
          </w:tcPr>
          <w:p w14:paraId="668EE78E">
            <w:pPr>
              <w:adjustRightInd w:val="0"/>
              <w:snapToGrid w:val="0"/>
              <w:spacing w:line="36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投标文件报价出现前后不一致的修正</w:t>
            </w:r>
          </w:p>
        </w:tc>
        <w:tc>
          <w:tcPr>
            <w:tcW w:w="6520" w:type="dxa"/>
            <w:noWrap w:val="0"/>
            <w:vAlign w:val="center"/>
          </w:tcPr>
          <w:p w14:paraId="7D43478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按本章正文规定修正</w:t>
            </w:r>
          </w:p>
        </w:tc>
      </w:tr>
      <w:tr w14:paraId="0A3840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noWrap w:val="0"/>
            <w:vAlign w:val="center"/>
          </w:tcPr>
          <w:p w14:paraId="5D0B58C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第5.8</w:t>
            </w:r>
            <w:r>
              <w:rPr>
                <w:rFonts w:hint="eastAsia" w:ascii="宋体" w:hAnsi="宋体" w:eastAsia="宋体" w:cs="宋体"/>
                <w:color w:val="auto"/>
                <w:kern w:val="0"/>
                <w:sz w:val="24"/>
                <w:szCs w:val="24"/>
                <w:highlight w:val="none"/>
                <w:lang w:val="zh-CN"/>
              </w:rPr>
              <w:t>款</w:t>
            </w:r>
          </w:p>
        </w:tc>
        <w:tc>
          <w:tcPr>
            <w:tcW w:w="2127" w:type="dxa"/>
            <w:noWrap w:val="0"/>
            <w:vAlign w:val="center"/>
          </w:tcPr>
          <w:p w14:paraId="2EC827B5">
            <w:pPr>
              <w:adjustRightInd w:val="0"/>
              <w:snapToGrid w:val="0"/>
              <w:spacing w:line="36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提供相同品牌产品，评审得分相同时，确定中标人推荐资格规定</w:t>
            </w:r>
          </w:p>
        </w:tc>
        <w:tc>
          <w:tcPr>
            <w:tcW w:w="6520" w:type="dxa"/>
            <w:noWrap w:val="0"/>
            <w:vAlign w:val="center"/>
          </w:tcPr>
          <w:p w14:paraId="7717E2AA">
            <w:pPr>
              <w:adjustRightInd w:val="0"/>
              <w:snapToGrid w:val="0"/>
              <w:spacing w:line="360" w:lineRule="auto"/>
              <w:jc w:val="center"/>
              <w:rPr>
                <w:rFonts w:hint="eastAsia" w:ascii="宋体" w:hAnsi="宋体" w:eastAsia="宋体" w:cs="宋体"/>
                <w:color w:val="auto"/>
                <w:sz w:val="24"/>
                <w:szCs w:val="24"/>
                <w:highlight w:val="none"/>
              </w:rPr>
            </w:pPr>
            <w:bookmarkStart w:id="116" w:name="EB147f477c9ccd4433a06dca56e84538dc"/>
            <w:r>
              <w:rPr>
                <w:rFonts w:hint="eastAsia" w:ascii="宋体" w:hAnsi="宋体" w:eastAsia="宋体" w:cs="宋体"/>
                <w:color w:val="auto"/>
                <w:sz w:val="24"/>
                <w:szCs w:val="24"/>
                <w:highlight w:val="none"/>
              </w:rPr>
              <w:t>☑</w:t>
            </w:r>
            <w:bookmarkEnd w:id="116"/>
            <w:r>
              <w:rPr>
                <w:rFonts w:hint="eastAsia" w:ascii="宋体" w:hAnsi="宋体" w:eastAsia="宋体" w:cs="宋体"/>
                <w:color w:val="auto"/>
                <w:sz w:val="24"/>
                <w:szCs w:val="24"/>
                <w:highlight w:val="none"/>
              </w:rPr>
              <w:t>得分相同的，按投标报价由低到高顺序排列。得分且投标报价相同的，按技术指标优劣顺序排列。（</w:t>
            </w:r>
            <w:r>
              <w:rPr>
                <w:rFonts w:hint="eastAsia" w:ascii="宋体" w:hAnsi="宋体" w:eastAsia="宋体" w:cs="宋体"/>
                <w:i/>
                <w:color w:val="auto"/>
                <w:sz w:val="24"/>
                <w:szCs w:val="24"/>
                <w:highlight w:val="none"/>
              </w:rPr>
              <w:t>提示：也可另行规定</w:t>
            </w:r>
            <w:r>
              <w:rPr>
                <w:rFonts w:hint="eastAsia" w:ascii="宋体" w:hAnsi="宋体" w:eastAsia="宋体" w:cs="宋体"/>
                <w:color w:val="auto"/>
                <w:sz w:val="24"/>
                <w:szCs w:val="24"/>
                <w:highlight w:val="none"/>
              </w:rPr>
              <w:t>）</w:t>
            </w:r>
          </w:p>
          <w:p w14:paraId="267701BB">
            <w:pPr>
              <w:adjustRightInd w:val="0"/>
              <w:snapToGrid w:val="0"/>
              <w:spacing w:line="360" w:lineRule="auto"/>
              <w:jc w:val="center"/>
              <w:rPr>
                <w:rFonts w:hint="eastAsia" w:ascii="宋体" w:hAnsi="宋体" w:eastAsia="宋体" w:cs="宋体"/>
                <w:color w:val="auto"/>
                <w:sz w:val="24"/>
                <w:szCs w:val="24"/>
                <w:highlight w:val="none"/>
              </w:rPr>
            </w:pPr>
            <w:bookmarkStart w:id="117" w:name="EB636a0b3fa6614d7b9c0f8e66b88218c7"/>
            <w:r>
              <w:rPr>
                <w:rFonts w:hint="eastAsia" w:ascii="宋体" w:hAnsi="宋体" w:eastAsia="宋体" w:cs="宋体"/>
                <w:color w:val="auto"/>
                <w:sz w:val="24"/>
                <w:szCs w:val="24"/>
                <w:highlight w:val="none"/>
              </w:rPr>
              <w:t>□</w:t>
            </w:r>
            <w:bookmarkEnd w:id="117"/>
            <w:r>
              <w:rPr>
                <w:rFonts w:hint="eastAsia" w:ascii="宋体" w:hAnsi="宋体" w:eastAsia="宋体" w:cs="宋体"/>
                <w:color w:val="auto"/>
                <w:sz w:val="24"/>
                <w:szCs w:val="24"/>
                <w:highlight w:val="none"/>
              </w:rPr>
              <w:t xml:space="preserve"> 随机抽取方式确定。</w:t>
            </w:r>
          </w:p>
        </w:tc>
      </w:tr>
      <w:tr w14:paraId="51E4E6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noWrap w:val="0"/>
            <w:vAlign w:val="center"/>
          </w:tcPr>
          <w:p w14:paraId="3080E2EA">
            <w:pPr>
              <w:adjustRightInd w:val="0"/>
              <w:snapToGrid w:val="0"/>
              <w:spacing w:line="360" w:lineRule="auto"/>
              <w:ind w:firstLine="480" w:firstLineChars="200"/>
              <w:jc w:val="center"/>
              <w:rPr>
                <w:rFonts w:hint="eastAsia" w:ascii="宋体" w:hAnsi="宋体" w:eastAsia="宋体" w:cs="宋体"/>
                <w:color w:val="auto"/>
                <w:sz w:val="24"/>
                <w:szCs w:val="24"/>
                <w:highlight w:val="none"/>
              </w:rPr>
            </w:pPr>
            <w:bookmarkStart w:id="118" w:name="EB4a1a56bb417f49869c382fe2d2f3c740"/>
            <w:r>
              <w:rPr>
                <w:rFonts w:hint="eastAsia" w:ascii="宋体" w:hAnsi="宋体" w:eastAsia="宋体" w:cs="宋体"/>
                <w:color w:val="auto"/>
                <w:sz w:val="24"/>
                <w:szCs w:val="24"/>
                <w:highlight w:val="none"/>
              </w:rPr>
              <w:t>第5.9</w:t>
            </w:r>
            <w:r>
              <w:rPr>
                <w:rFonts w:hint="eastAsia" w:ascii="宋体" w:hAnsi="宋体" w:eastAsia="宋体" w:cs="宋体"/>
                <w:color w:val="auto"/>
                <w:sz w:val="24"/>
                <w:szCs w:val="24"/>
                <w:highlight w:val="none"/>
                <w:lang w:val="zh-CN"/>
              </w:rPr>
              <w:t>款</w:t>
            </w:r>
          </w:p>
        </w:tc>
        <w:tc>
          <w:tcPr>
            <w:tcW w:w="2127" w:type="dxa"/>
            <w:noWrap w:val="0"/>
            <w:vAlign w:val="center"/>
          </w:tcPr>
          <w:p w14:paraId="7339DF74">
            <w:pPr>
              <w:adjustRightInd w:val="0"/>
              <w:snapToGrid w:val="0"/>
              <w:spacing w:line="36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非单一产品采购项目的核心产品</w:t>
            </w:r>
          </w:p>
        </w:tc>
        <w:tc>
          <w:tcPr>
            <w:tcW w:w="6520" w:type="dxa"/>
            <w:noWrap w:val="0"/>
            <w:vAlign w:val="center"/>
          </w:tcPr>
          <w:p w14:paraId="5A4D621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☑核心产品为：四管制风冷螺杆冷热水机组。</w:t>
            </w:r>
          </w:p>
          <w:p w14:paraId="5ACE367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（提示：根据采购项目技术构成、产品价格比重等合理确定具体产品为核心产品）</w:t>
            </w:r>
          </w:p>
          <w:p w14:paraId="1A9CE63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□两家及以上供应商提供相同产品的价格总和均超过该项目包各自投标总价%的，为核心产品。（提示：也可另行规定）</w:t>
            </w:r>
          </w:p>
        </w:tc>
      </w:tr>
    </w:tbl>
    <w:p w14:paraId="6C7CCCB7">
      <w:pPr>
        <w:adjustRightInd w:val="0"/>
        <w:snapToGrid w:val="0"/>
        <w:spacing w:line="360" w:lineRule="auto"/>
        <w:ind w:right="26"/>
        <w:rPr>
          <w:rFonts w:hint="eastAsia" w:ascii="宋体" w:hAnsi="宋体" w:eastAsia="宋体" w:cs="宋体"/>
          <w:color w:val="auto"/>
          <w:szCs w:val="21"/>
          <w:highlight w:val="none"/>
        </w:rPr>
      </w:pPr>
      <w:r>
        <w:rPr>
          <w:rFonts w:hint="eastAsia" w:ascii="宋体" w:hAnsi="宋体" w:eastAsia="宋体" w:cs="宋体"/>
          <w:color w:val="auto"/>
          <w:sz w:val="20"/>
          <w:szCs w:val="21"/>
          <w:highlight w:val="none"/>
        </w:rPr>
        <w:t xml:space="preserve"> </w:t>
      </w:r>
      <w:bookmarkEnd w:id="118"/>
    </w:p>
    <w:p w14:paraId="001FECB6">
      <w:pPr>
        <w:adjustRightInd w:val="0"/>
        <w:snapToGrid w:val="0"/>
        <w:spacing w:line="360" w:lineRule="auto"/>
        <w:ind w:right="26"/>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附页3-1</w:t>
      </w:r>
    </w:p>
    <w:p w14:paraId="7C4B0E28">
      <w:pPr>
        <w:pStyle w:val="6"/>
        <w:jc w:val="center"/>
        <w:rPr>
          <w:rFonts w:hint="eastAsia" w:ascii="宋体" w:hAnsi="宋体" w:eastAsia="宋体" w:cs="宋体"/>
          <w:color w:val="auto"/>
          <w:sz w:val="28"/>
          <w:szCs w:val="28"/>
          <w:highlight w:val="none"/>
        </w:rPr>
      </w:pPr>
      <w:bookmarkStart w:id="119" w:name="_Toc966151"/>
      <w:bookmarkStart w:id="120" w:name="_Toc6242768"/>
      <w:bookmarkStart w:id="121" w:name="_Toc129095513"/>
      <w:bookmarkStart w:id="122" w:name="_Toc129095618"/>
      <w:r>
        <w:rPr>
          <w:rFonts w:hint="eastAsia" w:ascii="宋体" w:hAnsi="宋体" w:eastAsia="宋体" w:cs="宋体"/>
          <w:color w:val="auto"/>
          <w:sz w:val="28"/>
          <w:szCs w:val="28"/>
          <w:highlight w:val="none"/>
        </w:rPr>
        <w:t>评标因素及标准</w:t>
      </w:r>
      <w:bookmarkEnd w:id="119"/>
      <w:bookmarkEnd w:id="120"/>
      <w:bookmarkEnd w:id="121"/>
      <w:bookmarkEnd w:id="122"/>
    </w:p>
    <w:p w14:paraId="155B2437">
      <w:pPr>
        <w:rPr>
          <w:rFonts w:hint="eastAsia" w:ascii="宋体" w:hAnsi="宋体" w:eastAsia="宋体" w:cs="宋体"/>
          <w:color w:val="auto"/>
          <w:highlight w:val="none"/>
        </w:rPr>
      </w:pPr>
      <w:bookmarkStart w:id="123" w:name="EB7e40f0a11dcc421dae00abf1452f7fbd"/>
      <w:bookmarkStart w:id="124" w:name="_Toc966152"/>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2866"/>
        <w:gridCol w:w="6893"/>
      </w:tblGrid>
      <w:tr w14:paraId="4579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FB2A08D">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09A7388">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评分点名称</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71E9020">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r>
      <w:tr w14:paraId="34B2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FCB5B6F">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p w14:paraId="027237E8">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w:t>
            </w: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8BF78B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法人营业执照</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009C3C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法人或者其他组织的营业执照等证明文件；</w:t>
            </w:r>
          </w:p>
        </w:tc>
      </w:tr>
      <w:tr w14:paraId="08F0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E36DB51">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DC0449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投标人缴纳税收和社会保险费的证明材料</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C65953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依法缴纳税收和社会保险费的证明材料，各上传下列材料之一： </w:t>
            </w:r>
          </w:p>
          <w:p w14:paraId="271C45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（1）缴纳税收证明资料（提供下列之一证明材料）：</w:t>
            </w:r>
          </w:p>
          <w:p w14:paraId="51F3E84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①《税务登记证》（实行营业执照、组织机构代码证、税务登记证“三证合一”或者营业执照、组织机构代码证、税务登记证、社会保险登记证和统计登记证“五证合一”登记模式的，可不再提供）；</w:t>
            </w:r>
          </w:p>
          <w:p w14:paraId="4B783D7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②提交投标文件截止时间前 3 个月内任意一个月依法缴纳税收的证明（纳税凭证）；</w:t>
            </w:r>
          </w:p>
          <w:p w14:paraId="32F7A3F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③委托他人缴纳的委托代办协议和提交投标文件截止时间前 3 个月内任意一个月的缴纳证明（收据）；</w:t>
            </w:r>
          </w:p>
          <w:p w14:paraId="6C20B2D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④法定征收机关出具的依法免缴税收的证明。</w:t>
            </w:r>
          </w:p>
          <w:p w14:paraId="3A7A74C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（2）缴纳社会保险证明资料（提供下列之一证明材料）：</w:t>
            </w:r>
          </w:p>
          <w:p w14:paraId="456438E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①《社会保险登记证》（实行营业执照、组织机构代码证、税务登记证、社会保险登记证和统计登记证“五证合一”登记制度的，可不再提供）；</w:t>
            </w:r>
          </w:p>
          <w:p w14:paraId="070642C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②提交投标文件截止时间前 3 个月内任意一个月依法缴纳社会保险的证明（缴费凭证）；</w:t>
            </w:r>
          </w:p>
          <w:p w14:paraId="5599567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③委托他人缴纳的委托代办协议和提交投标文件截止时间前 3 个月内任意一个月的缴纳证明（收据）；</w:t>
            </w:r>
          </w:p>
          <w:p w14:paraId="565F69A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④法定征收机关出具的依法免缴保险费的证明。</w:t>
            </w:r>
          </w:p>
        </w:tc>
      </w:tr>
      <w:tr w14:paraId="2774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626C207">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8AF851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w:t>
            </w:r>
            <w:r>
              <w:rPr>
                <w:rFonts w:hint="eastAsia" w:ascii="宋体" w:hAnsi="宋体" w:eastAsia="宋体" w:cs="宋体"/>
                <w:color w:val="auto"/>
                <w:sz w:val="24"/>
                <w:szCs w:val="24"/>
                <w:highlight w:val="none"/>
                <w:lang w:eastAsia="zh-CN"/>
              </w:rPr>
              <w:t>表人</w:t>
            </w:r>
            <w:r>
              <w:rPr>
                <w:rFonts w:hint="eastAsia" w:ascii="宋体" w:hAnsi="宋体" w:eastAsia="宋体" w:cs="宋体"/>
                <w:color w:val="auto"/>
                <w:sz w:val="24"/>
                <w:szCs w:val="24"/>
                <w:highlight w:val="none"/>
              </w:rPr>
              <w:t>或法人授权委托书原件及复印件</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C6FA61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法人提交法定代表人身份证明或者法定代表人授权委托书以及被授权代表人在投标单位或投标单位依法登记的分支机构近三个月内任意一个月的社保证明并附法定代表人身份证明；</w:t>
            </w:r>
          </w:p>
        </w:tc>
      </w:tr>
      <w:tr w14:paraId="2DED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BB27AFF">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DCF22C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财务报告</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6F7E82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提供上年度经会计师事务所审计的财务报告（至少包含审计报告、资产负债表、利润表和现金流量表），或由银行出具的资信证明</w:t>
            </w:r>
          </w:p>
        </w:tc>
      </w:tr>
      <w:tr w14:paraId="3E8F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4CB710B">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0051E2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信用记录查询情况</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E56631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信用记录查询情况（由采购人、代理机构进行查询，无需供应商提供书面申明）</w:t>
            </w:r>
          </w:p>
        </w:tc>
      </w:tr>
      <w:tr w14:paraId="17C1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2CEBB09">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CC936D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具有履行本项目采购合同所必须的设备和专业技术能力证明材料（根据项目具体履约需求明确）</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top"/>
          </w:tcPr>
          <w:p w14:paraId="0900B5E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提供承诺书（格式自拟）</w:t>
            </w:r>
          </w:p>
        </w:tc>
      </w:tr>
      <w:tr w14:paraId="635B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9B9CA1D">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707DD1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特定资格条件</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top"/>
          </w:tcPr>
          <w:p w14:paraId="02E9693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详见第一章投标邀请第三节第3条投标人特定资格条件</w:t>
            </w:r>
          </w:p>
        </w:tc>
      </w:tr>
      <w:tr w14:paraId="3118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A5BB739">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0858F6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评分点名称</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B4384D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r>
      <w:tr w14:paraId="3D8C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restart"/>
            <w:tcBorders>
              <w:top w:val="single" w:color="000000" w:sz="2" w:space="0"/>
              <w:left w:val="single" w:color="000000" w:sz="2" w:space="0"/>
              <w:right w:val="single" w:color="000000" w:sz="2" w:space="0"/>
            </w:tcBorders>
            <w:noWrap w:val="0"/>
            <w:tcMar>
              <w:top w:w="100" w:type="dxa"/>
              <w:bottom w:w="100" w:type="dxa"/>
            </w:tcMar>
            <w:vAlign w:val="center"/>
          </w:tcPr>
          <w:p w14:paraId="065EF8EA">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p w14:paraId="7A4876C7">
            <w:pPr>
              <w:pStyle w:val="3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符合性评审</w:t>
            </w: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ACFF98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是否满足招标文件商务、技术等实质性要求</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3B8753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评标委员会应当对符合资格条件的投标人的投标文件进行符合性审查，以确定其是否满足招标文件商务、技术等实质性要求</w:t>
            </w:r>
          </w:p>
        </w:tc>
      </w:tr>
      <w:tr w14:paraId="3E81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0DE5CD6D">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15C12F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投标文件响应性</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0982D4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依据招标文件的规定，从投标文件的有效性、完整性和对招标文件的响应程度进行审查，以确定是否对招标文件的实质性要求作出响应。</w:t>
            </w:r>
          </w:p>
          <w:p w14:paraId="564D4B9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评标委员会决定投标文件的响应性只根据投标文件真实无误的内容，而不依据外部的证据，但投标文件有不真实、不正确的内容时除外。</w:t>
            </w:r>
          </w:p>
        </w:tc>
      </w:tr>
      <w:tr w14:paraId="2437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2B8B2516">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24FD6F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投标人不得通过修正或撤销不合要求的偏离从而使其投标成为实质上响应的投标</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92F83D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投标人不得通过修正或撤销不合要求的偏离从而使其投标成为实质上响应的投标。</w:t>
            </w:r>
          </w:p>
        </w:tc>
      </w:tr>
      <w:tr w14:paraId="0962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7BD697EF">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F1509C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投标文件属下列情况之一的，投标无效</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C8F679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投标文件属下列情况之一的，投标无效：</w:t>
            </w:r>
          </w:p>
        </w:tc>
      </w:tr>
      <w:tr w14:paraId="6752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37FD115F">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5A9D51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未按照招标文件规定要求签署、盖章的</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D0D3DB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投标文件中商务技术文件未按照招标文件规定要求签署、盖章的</w:t>
            </w:r>
          </w:p>
        </w:tc>
      </w:tr>
      <w:tr w14:paraId="06EA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40E16750">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50F31A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投标文件是否超过负最高项数</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21B4D7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投标文件没有对招标文件的实质性要求和条件作出响应，或者对招标文件的偏差超出招标文件规定的偏差范围或最高项数；</w:t>
            </w:r>
          </w:p>
        </w:tc>
      </w:tr>
      <w:tr w14:paraId="1691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79CE2ADF">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1FC496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EFDFE6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报价超过招标文件中规定的预算金额或者最高限价的；</w:t>
            </w:r>
          </w:p>
        </w:tc>
      </w:tr>
      <w:tr w14:paraId="0A3A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6EF46651">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B44735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208D56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投标有效期不足的；</w:t>
            </w:r>
          </w:p>
        </w:tc>
      </w:tr>
      <w:tr w14:paraId="77E0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4BFC55A8">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E69663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投标文件含有采购人不能接受的附加条件的</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1C766A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投标文件含有采购人不能接受的附加条件的；</w:t>
            </w:r>
          </w:p>
        </w:tc>
      </w:tr>
      <w:tr w14:paraId="6350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65636820">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E02C95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和招标文件规定的其他投标无效情形</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DE0084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和招标文件规定的其他投标无效情形的；</w:t>
            </w:r>
          </w:p>
        </w:tc>
      </w:tr>
      <w:tr w14:paraId="4C3C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49E1F3F6">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82BC16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投标标的范围小于采购标的范围的</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719DE6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投标标的范围小于采购标的范围的。</w:t>
            </w:r>
          </w:p>
        </w:tc>
      </w:tr>
      <w:tr w14:paraId="3B25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1FA05BBA">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8D174A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不符合★条款</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C4A438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不符合★条款</w:t>
            </w:r>
          </w:p>
        </w:tc>
      </w:tr>
      <w:tr w14:paraId="447A6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46CB5DEE">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5A35FA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投标文件电子文档有病毒</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0430D7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投标文件电子文档有病毒</w:t>
            </w:r>
          </w:p>
        </w:tc>
      </w:tr>
      <w:tr w14:paraId="1762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1EC15D43">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EE2012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投标文件用不属于本中心的电子密钥进行加密</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top"/>
          </w:tcPr>
          <w:p w14:paraId="32A9A4D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投标文件用不属于本中心的电子密钥进行加密</w:t>
            </w:r>
          </w:p>
        </w:tc>
      </w:tr>
      <w:tr w14:paraId="48EA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1C534F1B">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6A192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选了非本项目的加密规则文件，导致投标文件不能在开标时解密</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top"/>
          </w:tcPr>
          <w:p w14:paraId="502A465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选了非本项目的加密规则文件，导致投标文件不能在开标时解密</w:t>
            </w:r>
          </w:p>
        </w:tc>
      </w:tr>
      <w:tr w14:paraId="11F7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6C79BE84">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6859CC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规定的其他情形</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top"/>
          </w:tcPr>
          <w:p w14:paraId="0C452CB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规定的其他情形</w:t>
            </w:r>
          </w:p>
        </w:tc>
      </w:tr>
      <w:tr w14:paraId="3377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right w:val="single" w:color="000000" w:sz="2" w:space="0"/>
            </w:tcBorders>
            <w:noWrap w:val="0"/>
            <w:tcMar>
              <w:top w:w="100" w:type="dxa"/>
              <w:bottom w:w="100" w:type="dxa"/>
            </w:tcMar>
            <w:vAlign w:val="center"/>
          </w:tcPr>
          <w:p w14:paraId="2492EB77">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441E9BB">
            <w:pPr>
              <w:adjustRightInd w:val="0"/>
              <w:snapToGrid w:val="0"/>
              <w:spacing w:line="360" w:lineRule="auto"/>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异常低价投标（响应）审查程序</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top"/>
          </w:tcPr>
          <w:p w14:paraId="7C297391">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评审中出现下列情形之一的，评审委员会应当启动异常低价投标（响应）审查程序：</w:t>
            </w:r>
          </w:p>
          <w:p w14:paraId="50EB2FBA">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（1）投标（响应）报价低于全部通过符合性审查供应商投标（响应）报价平均值 65% 的，即投标（响应）报价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全部通过符合性审查供应商投标（响应）报价平均值×65%；</w:t>
            </w:r>
          </w:p>
          <w:p w14:paraId="36A6943A">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（2）投标（响应）报价低于通过符合性审查的次低报价供应商投标（响应）报价 65% 的，即投标（响应）报价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通过符合性审查的次低报价供应商投标（响应）报价×65%；</w:t>
            </w:r>
          </w:p>
          <w:p w14:paraId="0305FC8A">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（3）投标（响应）报价低于采购项目最高限价65%的，即投标（响应）报价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采购项目最高限价×65%；</w:t>
            </w:r>
          </w:p>
          <w:p w14:paraId="3ECB79EB">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（4）评审委员会基于专业判断，认为供应商报价过低，有可能影响产品质量或者不能诚信履约的其他情形。</w:t>
            </w:r>
          </w:p>
          <w:p w14:paraId="5A6EE007">
            <w:pPr>
              <w:adjustRightInd w:val="0"/>
              <w:snapToGrid w:val="0"/>
              <w:spacing w:line="360" w:lineRule="auto"/>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书面说明、必要的证明材料及对保障项目履约的说明，包括但不限于原材料成本、人工成本、制造费用等，给予相关供应商的合理时间一般不少于60分钟。其中，属于第3项情形，供应商已随投标（响应）文件一并提交相关书面说明、必要的证明材料及对保障项目履约的说明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必要的证明材料及对保障项目履约的说明能证明其报价合理性的，评审委员会应当将其作为无效投标（响应）处理。</w:t>
            </w:r>
          </w:p>
        </w:tc>
      </w:tr>
      <w:tr w14:paraId="28E9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vMerge w:val="continue"/>
            <w:tcBorders>
              <w:left w:val="single" w:color="000000" w:sz="2" w:space="0"/>
              <w:bottom w:val="single" w:color="000000" w:sz="2" w:space="0"/>
              <w:right w:val="single" w:color="000000" w:sz="2" w:space="0"/>
            </w:tcBorders>
            <w:noWrap w:val="0"/>
            <w:tcMar>
              <w:top w:w="100" w:type="dxa"/>
              <w:bottom w:w="100" w:type="dxa"/>
            </w:tcMar>
            <w:vAlign w:val="center"/>
          </w:tcPr>
          <w:p w14:paraId="4922B15A">
            <w:pPr>
              <w:pStyle w:val="36"/>
              <w:jc w:val="center"/>
              <w:rPr>
                <w:rFonts w:hint="eastAsia" w:ascii="宋体" w:hAnsi="宋体" w:eastAsia="宋体" w:cs="宋体"/>
                <w:color w:val="auto"/>
                <w:sz w:val="24"/>
                <w:szCs w:val="24"/>
                <w:highlight w:val="none"/>
              </w:rPr>
            </w:pPr>
          </w:p>
        </w:tc>
        <w:tc>
          <w:tcPr>
            <w:tcW w:w="134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924B997">
            <w:pPr>
              <w:adjustRightInd w:val="0"/>
              <w:snapToGrid w:val="0"/>
              <w:spacing w:line="360" w:lineRule="auto"/>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异常低价投标（响应）审查程序</w:t>
            </w:r>
          </w:p>
        </w:tc>
        <w:tc>
          <w:tcPr>
            <w:tcW w:w="322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top"/>
          </w:tcPr>
          <w:p w14:paraId="619AC5F6">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（由于系统字数限制，接上条）</w:t>
            </w:r>
          </w:p>
          <w:p w14:paraId="05E2EB6C">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注：</w:t>
            </w:r>
          </w:p>
          <w:p w14:paraId="656681F0">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ascii="宋体" w:hAnsi="宋体" w:eastAsia="宋体" w:cs="宋体"/>
                <w:color w:val="auto"/>
                <w:sz w:val="24"/>
                <w:szCs w:val="24"/>
                <w:highlight w:val="none"/>
              </w:rPr>
              <w:t>报价合理性书面说明、必要的证明材料及对保障项目履约的说明是指：</w:t>
            </w:r>
          </w:p>
          <w:p w14:paraId="6954F814">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1.1书面说明：</w:t>
            </w:r>
          </w:p>
          <w:p w14:paraId="46CB047A">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供应商对报价完整性、准确性的说明：说明内容涵盖是否已认真核算自身报价不存在错项、漏项、价格计算错误等问题，对采购项目产生或可能产生的全生命周期成本均按采购文件约定进行报价。供应商发现报价存在错项、漏项、价格计算错误等问题的，应详细说明具体问题，并承诺在项目执行过程中，不在国家规定和合同约定之外以任何名义再收取费用；</w:t>
            </w:r>
          </w:p>
          <w:p w14:paraId="2B417662">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供应商对报价合理性的说明：①说明供应商在产品制造或采购成本、人力成本、技术优势、政策补贴等方面的是否存在成本优势，对存在的优势进行分析说明；②说明采取低价参与本采购项目考虑的因素及利益诉求；③说明每一项标的及项目全生命周期内其他可能产生的成本的具体价格测算；④说明对可能产生理解差异的标的的说明（如有），供应商就采购人采购需求可能存在理解差异的，详细阐明自身的理解及实现的技术服务路径与价格测算。</w:t>
            </w:r>
          </w:p>
          <w:p w14:paraId="2BA97F71">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对于成品类货物标的，供应商应提供包括但不限于产品采购成本、产品制造成本费、人工成本、安装成本、运输成本、管理费用、销售费用、财务费用、税费、利润、其他开支等；</w:t>
            </w:r>
          </w:p>
          <w:p w14:paraId="7BFF90E3">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1.2必要的证明材料必须包括但不限于：</w:t>
            </w:r>
          </w:p>
          <w:p w14:paraId="54F134CF">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①产品采购成本：产品购买发票、与销售方签订的有效合同（需体现分项单价、数量），或制造商出厂价证明文件；</w:t>
            </w:r>
          </w:p>
          <w:p w14:paraId="2EE47D76">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②产品制造成本：成本核算方法说明、原材料采购发票、加工费发票、生产工艺单、能耗记录、生产设备折旧分摊表、生产工时统计表、与该成本核算方法相关的其他费用、第三方成本审计报告（如有）；</w:t>
            </w:r>
          </w:p>
          <w:p w14:paraId="421A51AE">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③人工成本：项目参与人员的近3个月工资发放银行流水、社保/公积金缴费明细、个税申报记录（人员信息需一致），及人员岗位匹配说明；</w:t>
            </w:r>
          </w:p>
          <w:p w14:paraId="1C319723">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④安装成本：安装工人工资流水、奖金津贴发放凭证、安装服务合同（如有分包需提供分包协议及分包方资质）；</w:t>
            </w:r>
          </w:p>
          <w:p w14:paraId="37CC85CA">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⑤运输成本：运输成本测算明细单（需列明完整成本构成，加盖报价单位公章：里程、吨数、趟次、运输路线起止地、运输周期；分项成本：燃油费、过路费、车辆折旧/租赁费、司机薪酬、保险、维保、装卸费、仓储中转费、税费、管理分摊费单趟/单位货物（吨/立方）综合运输成本核算表，附计算公式），运输合作主体资质文件（如为自有车队：车辆行驶证、营运证、车辆产权登记证明、司机从业资格证；如为外包第三方物流：物流企业营业执照、道路运输经营许可证、双方长期运输合作框架合同）；</w:t>
            </w:r>
          </w:p>
          <w:p w14:paraId="034F3249">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⑥管理费用、税费、利润：管理费用需提供费用分摊依据（如办公场地租赁发票、行政人员薪酬明细）；税费需提供近1年纳税申报表或完税证明；利润需说明测算比例的行业依据</w:t>
            </w:r>
          </w:p>
          <w:p w14:paraId="58063C3C">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⑦其他开支：同类项目历史成交合同、市场价格调研报告（参考主要电商平台价格、行业协会发布的平均成本）、技术专利证书（体现技术优势）等。</w:t>
            </w:r>
          </w:p>
          <w:p w14:paraId="22E8483F">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1.3供应商对保障项目履约的说明：具体说明参与采购项目的盈利或亏损预期分析，对于预期亏损的，还要说明企业（单位）资产负债情况，亏损承受能力分析，化解亏损或保障持续履约能力的措施等。</w:t>
            </w:r>
          </w:p>
          <w:p w14:paraId="7D83BF73">
            <w:pPr>
              <w:adjustRightInd w:val="0"/>
              <w:snapToGrid w:val="0"/>
              <w:spacing w:line="360" w:lineRule="auto"/>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注：供应商应按照评审专家规定的时间及时提交。采购项目评审过程中，安排对项目成本测算情况，项目执行情况熟悉的工作人员，随时准备接受评审小组的澄清提问。</w:t>
            </w:r>
          </w:p>
        </w:tc>
      </w:tr>
      <w:bookmarkEnd w:id="123"/>
    </w:tbl>
    <w:p w14:paraId="3F1CF0B3">
      <w:pPr>
        <w:rPr>
          <w:rFonts w:hint="eastAsia" w:ascii="宋体" w:hAnsi="宋体" w:eastAsia="宋体" w:cs="宋体"/>
          <w:color w:val="auto"/>
          <w:sz w:val="20"/>
          <w:highlight w:val="none"/>
        </w:rPr>
      </w:pPr>
    </w:p>
    <w:p w14:paraId="41A23456">
      <w:pPr>
        <w:pStyle w:val="6"/>
        <w:jc w:val="center"/>
        <w:rPr>
          <w:rFonts w:hint="eastAsia" w:ascii="宋体" w:hAnsi="宋体" w:eastAsia="宋体" w:cs="宋体"/>
          <w:b w:val="0"/>
          <w:color w:val="auto"/>
          <w:sz w:val="28"/>
          <w:szCs w:val="28"/>
          <w:highlight w:val="none"/>
        </w:rPr>
      </w:pPr>
      <w:bookmarkStart w:id="125" w:name="_Toc6242769"/>
      <w:bookmarkStart w:id="126" w:name="_Toc129095514"/>
      <w:bookmarkStart w:id="127" w:name="_Toc129095619"/>
      <w:r>
        <w:rPr>
          <w:rFonts w:hint="eastAsia" w:ascii="宋体" w:hAnsi="宋体" w:eastAsia="宋体" w:cs="宋体"/>
          <w:b w:val="0"/>
          <w:color w:val="auto"/>
          <w:sz w:val="28"/>
          <w:szCs w:val="28"/>
          <w:highlight w:val="none"/>
        </w:rPr>
        <w:br w:type="page"/>
      </w:r>
      <w:r>
        <w:rPr>
          <w:rFonts w:hint="eastAsia" w:ascii="宋体" w:hAnsi="宋体" w:eastAsia="宋体" w:cs="宋体"/>
          <w:b w:val="0"/>
          <w:color w:val="auto"/>
          <w:sz w:val="28"/>
          <w:szCs w:val="28"/>
          <w:highlight w:val="none"/>
        </w:rPr>
        <w:t>正文</w:t>
      </w:r>
      <w:bookmarkEnd w:id="124"/>
      <w:bookmarkEnd w:id="125"/>
      <w:bookmarkEnd w:id="126"/>
      <w:bookmarkEnd w:id="127"/>
    </w:p>
    <w:p w14:paraId="44D752B5">
      <w:pPr>
        <w:adjustRightInd w:val="0"/>
        <w:snapToGrid w:val="0"/>
        <w:spacing w:line="440" w:lineRule="exact"/>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1.评标方法</w:t>
      </w:r>
    </w:p>
    <w:p w14:paraId="28F4F27C">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1.1评标方法：综合评分法，指投标文件满足招标文件全部实质性要求，且按照评审因素的量化指标评审得分最高的投标人为中标候选人的评标方法。</w:t>
      </w:r>
    </w:p>
    <w:p w14:paraId="3C93B594">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1.2</w:t>
      </w:r>
      <w:r>
        <w:rPr>
          <w:rFonts w:hint="eastAsia" w:ascii="宋体" w:hAnsi="宋体" w:eastAsia="宋体" w:cs="宋体"/>
          <w:color w:val="auto"/>
          <w:sz w:val="24"/>
          <w:szCs w:val="24"/>
          <w:highlight w:val="none"/>
        </w:rPr>
        <w:t>评标因素：评审因素的设定应当与投标人所提供货物服务的质量相关，包括投标报价、技术或者服务水平、履约能力、售后服务等，但不包括第二章第3条“投标人的资格要求”。</w:t>
      </w:r>
      <w:r>
        <w:rPr>
          <w:rFonts w:hint="eastAsia" w:ascii="宋体" w:hAnsi="宋体" w:eastAsia="宋体" w:cs="宋体"/>
          <w:bCs/>
          <w:color w:val="auto"/>
          <w:sz w:val="24"/>
          <w:szCs w:val="24"/>
          <w:highlight w:val="none"/>
        </w:rPr>
        <w:t>本采购项目</w:t>
      </w:r>
      <w:r>
        <w:rPr>
          <w:rFonts w:hint="eastAsia" w:ascii="宋体" w:hAnsi="宋体" w:eastAsia="宋体" w:cs="宋体"/>
          <w:color w:val="auto"/>
          <w:sz w:val="24"/>
          <w:szCs w:val="24"/>
          <w:highlight w:val="none"/>
        </w:rPr>
        <w:t>的评标因素和标准见【</w:t>
      </w:r>
      <w:r>
        <w:rPr>
          <w:rFonts w:hint="eastAsia" w:ascii="宋体" w:hAnsi="宋体" w:eastAsia="宋体" w:cs="宋体"/>
          <w:b/>
          <w:color w:val="auto"/>
          <w:sz w:val="24"/>
          <w:szCs w:val="24"/>
          <w:highlight w:val="none"/>
        </w:rPr>
        <w:t>评标方法及标准前附表</w:t>
      </w:r>
      <w:r>
        <w:rPr>
          <w:rFonts w:hint="eastAsia" w:ascii="宋体" w:hAnsi="宋体" w:eastAsia="宋体" w:cs="宋体"/>
          <w:color w:val="auto"/>
          <w:sz w:val="24"/>
          <w:szCs w:val="24"/>
          <w:highlight w:val="none"/>
        </w:rPr>
        <w:t>】。</w:t>
      </w:r>
    </w:p>
    <w:p w14:paraId="675B5670">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1.3采购人不接受投标人给予的赠品、回扣或者与采购无关的其他商品、服务。</w:t>
      </w:r>
    </w:p>
    <w:p w14:paraId="263A4CDC">
      <w:pPr>
        <w:adjustRightInd w:val="0"/>
        <w:snapToGrid w:val="0"/>
        <w:spacing w:line="440" w:lineRule="exact"/>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评标程序</w:t>
      </w:r>
    </w:p>
    <w:p w14:paraId="21B40FB6">
      <w:pPr>
        <w:adjustRightInd w:val="0"/>
        <w:snapToGrid w:val="0"/>
        <w:spacing w:line="440" w:lineRule="exact"/>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w:t>
      </w:r>
      <w:r>
        <w:rPr>
          <w:rFonts w:hint="eastAsia" w:ascii="宋体" w:hAnsi="宋体" w:eastAsia="宋体" w:cs="宋体"/>
          <w:color w:val="auto"/>
          <w:sz w:val="24"/>
          <w:szCs w:val="24"/>
          <w:highlight w:val="none"/>
        </w:rPr>
        <w:t>评标程序分为投标文件商务、技术等符合性审查、澄清有关问题、比较和评价、确定中标候选人名单。</w:t>
      </w:r>
    </w:p>
    <w:p w14:paraId="350D426D">
      <w:pPr>
        <w:adjustRightInd w:val="0"/>
        <w:snapToGrid w:val="0"/>
        <w:spacing w:line="440" w:lineRule="exact"/>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 投标文件符合性审查</w:t>
      </w:r>
    </w:p>
    <w:p w14:paraId="14AACC13">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3.1评标委员会应当对符合资格条件的投标人的投标文件进行符合性审查，以确定其是否满足招标文件商务、技术等实质性要求。</w:t>
      </w:r>
    </w:p>
    <w:p w14:paraId="2C7CC7C1">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据招标文件的规定，从投标文件的有效性、完整性和对招标文件的响应程度进行审查，以确定是否对招标文件的实质性要求作出响应。评标委员会决定投标文件的响应性只根据投标文件真实无误的内容，而不依据外部的证据，但投标文件有不真实、不正确的内容时除外。</w:t>
      </w:r>
    </w:p>
    <w:p w14:paraId="2905A60F">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（2）投标人不得通过修正或撤销</w:t>
      </w:r>
      <w:r>
        <w:rPr>
          <w:rFonts w:hint="eastAsia" w:ascii="宋体" w:hAnsi="宋体" w:eastAsia="宋体" w:cs="宋体"/>
          <w:color w:val="auto"/>
          <w:sz w:val="24"/>
          <w:szCs w:val="24"/>
          <w:highlight w:val="none"/>
          <w:lang w:eastAsia="zh-CN"/>
        </w:rPr>
        <w:t>不符</w:t>
      </w:r>
      <w:r>
        <w:rPr>
          <w:rFonts w:hint="eastAsia" w:ascii="宋体" w:hAnsi="宋体" w:eastAsia="宋体" w:cs="宋体"/>
          <w:color w:val="auto"/>
          <w:sz w:val="24"/>
          <w:szCs w:val="24"/>
          <w:highlight w:val="none"/>
        </w:rPr>
        <w:t>合要求的偏离从而使其投标成为实质上响应的投标。</w:t>
      </w:r>
    </w:p>
    <w:p w14:paraId="015BCECC">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3.2投标文件属下列情况之一的，投标无效：</w:t>
      </w:r>
    </w:p>
    <w:p w14:paraId="6DF73B76">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（1）投标文件中商务技术文件未按照招标文件规定要求签署、盖章的；</w:t>
      </w:r>
    </w:p>
    <w:p w14:paraId="154470F8">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（2）投标文件没有对招标文件的实质性要求和条件作出响应，或者对招标文件的偏差超出招标文件规定的偏差范围或最高项数；</w:t>
      </w:r>
    </w:p>
    <w:p w14:paraId="1D4C93D6">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（3）报价超过招标文件中规定的预算金额或者最高限价的； </w:t>
      </w:r>
    </w:p>
    <w:p w14:paraId="6D6C261B">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（4）投标有效期不足的；</w:t>
      </w:r>
    </w:p>
    <w:p w14:paraId="50453B5F">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（5）投标文件含有采购人不能接受的附加条件的；</w:t>
      </w:r>
    </w:p>
    <w:p w14:paraId="356115F0">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和招标文件规定的其他投标无效情形的。</w:t>
      </w:r>
    </w:p>
    <w:p w14:paraId="3AD6EFAF">
      <w:pPr>
        <w:adjustRightInd w:val="0"/>
        <w:snapToGrid w:val="0"/>
        <w:spacing w:line="440" w:lineRule="exact"/>
        <w:jc w:val="left"/>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4. 澄清有关问题</w:t>
      </w:r>
    </w:p>
    <w:p w14:paraId="6BA5A04A">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4.1对于投标文件中含义不明确、同类问题表述不一致或者有明显文字和计算错误的内容，评标委员会应当要求投标人作出必要的澄清、说明或者补正。</w:t>
      </w:r>
    </w:p>
    <w:p w14:paraId="28BF2FF3">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4.2投标文件报价出现前后不一致的，除【</w:t>
      </w:r>
      <w:r>
        <w:rPr>
          <w:rFonts w:hint="eastAsia" w:ascii="宋体" w:hAnsi="宋体" w:eastAsia="宋体" w:cs="宋体"/>
          <w:b/>
          <w:color w:val="auto"/>
          <w:sz w:val="24"/>
          <w:szCs w:val="24"/>
          <w:highlight w:val="none"/>
        </w:rPr>
        <w:t>评标方法及标准前附表</w:t>
      </w:r>
      <w:r>
        <w:rPr>
          <w:rFonts w:hint="eastAsia" w:ascii="宋体" w:hAnsi="宋体" w:eastAsia="宋体" w:cs="宋体"/>
          <w:color w:val="auto"/>
          <w:sz w:val="24"/>
          <w:szCs w:val="24"/>
          <w:highlight w:val="none"/>
        </w:rPr>
        <w:t>】另有规定外，按照下列规定修正：</w:t>
      </w:r>
    </w:p>
    <w:p w14:paraId="51662EB2">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（1）投标文件中开标一览表内容与投标文件中相应内容不一致的，以开标一览表为准；</w:t>
      </w:r>
    </w:p>
    <w:p w14:paraId="7E99E025">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（2）大写金额和小写金额不一致的，以大写金额为准；</w:t>
      </w:r>
    </w:p>
    <w:p w14:paraId="086E944B">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（3）单价金额小数点或者百分比有明显错位的，以开标一览表的总价为准，并修改单价；</w:t>
      </w:r>
    </w:p>
    <w:p w14:paraId="5EA10776">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（4）总价金额与按单价汇总金额不一致的，以单价金额计算结果为准。</w:t>
      </w:r>
    </w:p>
    <w:p w14:paraId="3B4103A4">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4.3投标文件报价同时出现两种以上不一致的，按照前款规定的顺序修正。修正后的报价由投标人代表签字（或者加盖单</w:t>
      </w:r>
      <w:r>
        <w:rPr>
          <w:rFonts w:hint="eastAsia" w:ascii="宋体" w:hAnsi="宋体" w:eastAsia="宋体" w:cs="宋体"/>
          <w:color w:val="auto"/>
          <w:sz w:val="24"/>
          <w:szCs w:val="24"/>
          <w:highlight w:val="none"/>
          <w:lang w:eastAsia="zh-CN"/>
        </w:rPr>
        <w:t>位公</w:t>
      </w:r>
      <w:r>
        <w:rPr>
          <w:rFonts w:hint="eastAsia" w:ascii="宋体" w:hAnsi="宋体" w:eastAsia="宋体" w:cs="宋体"/>
          <w:color w:val="auto"/>
          <w:sz w:val="24"/>
          <w:szCs w:val="24"/>
          <w:highlight w:val="none"/>
        </w:rPr>
        <w:t>章）确认后产生约束力，投标人不确认的，其投标无效。</w:t>
      </w:r>
    </w:p>
    <w:p w14:paraId="5631A5B5">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投标人的澄清、说明或者补正可采用电子形式，并加盖电子公章，或者由法定代表人或其授权的代表签字，并按评标委员会的通知要求递交。投标人的澄清、说明或者补正不得超出投标文件的范围或者改变投标文件的实质性内容。评标委员会不接受投标人主动提交的澄清、说明或者补正。</w:t>
      </w:r>
    </w:p>
    <w:p w14:paraId="7855B737">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4.5有效的书面澄清材料，是投标文件的补充材料，成为投标文件的组成部分。</w:t>
      </w:r>
    </w:p>
    <w:p w14:paraId="4ACDF5BD">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4.6供应商的报价存在《关于推动解决政府采购异常低价问题的通知》（ 财库〔2026〕2号）规定的情形的（具体比例或要求以采购文件约定为准），评标委员会应当启动异常低价投标（响应）审查 ，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采购文件规定的时间。其中，属于《关于推动解决政府采购异常低价问题的通知》中第3项情形，供应商已随投标（响应）文件一并提交相关书面说明及必要的证明材料的，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52B64A2">
      <w:pPr>
        <w:adjustRightInd w:val="0"/>
        <w:snapToGrid w:val="0"/>
        <w:spacing w:line="440" w:lineRule="exact"/>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比较与评价</w:t>
      </w:r>
    </w:p>
    <w:p w14:paraId="60E8AC30">
      <w:pPr>
        <w:adjustRightInd w:val="0"/>
        <w:snapToGrid w:val="0"/>
        <w:spacing w:line="440" w:lineRule="exact"/>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5.1评标委员会应按照招标文件中规定的评标方法、</w:t>
      </w:r>
      <w:r>
        <w:rPr>
          <w:rFonts w:hint="eastAsia" w:ascii="宋体" w:hAnsi="宋体" w:eastAsia="宋体" w:cs="宋体"/>
          <w:color w:val="auto"/>
          <w:sz w:val="24"/>
          <w:szCs w:val="24"/>
          <w:highlight w:val="none"/>
        </w:rPr>
        <w:t>标准和评标因素，</w:t>
      </w:r>
      <w:r>
        <w:rPr>
          <w:rFonts w:hint="eastAsia" w:ascii="宋体" w:hAnsi="宋体" w:eastAsia="宋体" w:cs="宋体"/>
          <w:bCs/>
          <w:color w:val="auto"/>
          <w:sz w:val="24"/>
          <w:szCs w:val="24"/>
          <w:highlight w:val="none"/>
        </w:rPr>
        <w:t>对</w:t>
      </w:r>
      <w:r>
        <w:rPr>
          <w:rFonts w:hint="eastAsia" w:ascii="宋体" w:hAnsi="宋体" w:eastAsia="宋体" w:cs="宋体"/>
          <w:color w:val="auto"/>
          <w:sz w:val="24"/>
          <w:szCs w:val="24"/>
          <w:highlight w:val="none"/>
        </w:rPr>
        <w:t>资格性检查和符合性检查</w:t>
      </w:r>
      <w:r>
        <w:rPr>
          <w:rFonts w:hint="eastAsia" w:ascii="宋体" w:hAnsi="宋体" w:eastAsia="宋体" w:cs="宋体"/>
          <w:bCs/>
          <w:color w:val="auto"/>
          <w:sz w:val="24"/>
          <w:szCs w:val="24"/>
          <w:highlight w:val="none"/>
        </w:rPr>
        <w:t>合格的投标文件进行评估，综合比较与评价。</w:t>
      </w:r>
    </w:p>
    <w:p w14:paraId="2B66A5C8">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5.2投标报价的修正或调整：</w:t>
      </w:r>
    </w:p>
    <w:p w14:paraId="14B805DA">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（1）如果有算术错误，投标报价将按本章第4.2款进行算术修正及修正次序规则修正。</w:t>
      </w:r>
    </w:p>
    <w:p w14:paraId="64F6453D">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5.3投标报价评价：计算公式详见关键信息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报价评审</w:t>
      </w:r>
    </w:p>
    <w:p w14:paraId="2E91EC22">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5.4技术、商务等评分项响应评价</w:t>
      </w:r>
    </w:p>
    <w:p w14:paraId="173C6222">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（1）技术、商务等评分项响应评分。按本章第1.2款规定的评标因素和标准，对技术、商务等评分项计算得分。</w:t>
      </w:r>
    </w:p>
    <w:p w14:paraId="5A7306CD">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5.5评标总得分</w:t>
      </w:r>
    </w:p>
    <w:p w14:paraId="42DB0CC2">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评标总得分＝F1×A1＋F2×A2＋……＋Fn×An</w:t>
      </w:r>
    </w:p>
    <w:p w14:paraId="3975BC27">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F1、F2……Fn分别为各项评审因素的得分；</w:t>
      </w:r>
    </w:p>
    <w:p w14:paraId="16E58039">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A1、A2、……An 分别为各项评审因素所占的权重（A1＋A2＋…＋An＝1）。</w:t>
      </w:r>
    </w:p>
    <w:p w14:paraId="065C87F9">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评标过程中，不得去掉报价中的最高报价和最低报价。</w:t>
      </w:r>
    </w:p>
    <w:p w14:paraId="086E03BB">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5.6计算过程中保留五位小数点，小数点后第六位“四舍五入”；计算结果保留小数点后两位，小数点后第三位“四舍五入”。</w:t>
      </w:r>
    </w:p>
    <w:p w14:paraId="520916DF">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5.7评标时，评标委员会各成员应当独立对每个投标人的投标文件进行评价、评分，然后汇总每个投标人每项评分因素的得分。</w:t>
      </w:r>
    </w:p>
    <w:p w14:paraId="51FE6059">
      <w:pPr>
        <w:adjustRightInd w:val="0"/>
        <w:snapToGrid w:val="0"/>
        <w:spacing w:line="440" w:lineRule="exact"/>
        <w:ind w:firstLine="480" w:firstLineChars="200"/>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5.8提供相同品牌产品且通过资格审查、符合性审查的不同供应商参加同一合同项下投标的，按一家供应商计算，评审后得分最高的同品牌供应商获得中标人推荐资格，其他同品牌供应商不作为中标候选人。评审得分相同的，由采购人或者采购人委托评标委员会按照【</w:t>
      </w:r>
      <w:r>
        <w:rPr>
          <w:rFonts w:hint="eastAsia" w:ascii="宋体" w:hAnsi="宋体" w:eastAsia="宋体" w:cs="Times New Roman"/>
          <w:b/>
          <w:color w:val="auto"/>
          <w:sz w:val="24"/>
          <w:szCs w:val="24"/>
          <w:highlight w:val="none"/>
        </w:rPr>
        <w:t>评标方法及标准前附表</w:t>
      </w:r>
      <w:r>
        <w:rPr>
          <w:rFonts w:hint="eastAsia" w:ascii="宋体" w:hAnsi="宋体" w:eastAsia="宋体" w:cs="Times New Roman"/>
          <w:color w:val="auto"/>
          <w:sz w:val="24"/>
          <w:szCs w:val="24"/>
          <w:highlight w:val="none"/>
        </w:rPr>
        <w:t>】规定的方式确定一个供应商获得中标人推荐资格，招标文件未规定的采取随机抽取方式确定，其他同品牌供应商不作为中标候选人。</w:t>
      </w:r>
    </w:p>
    <w:p w14:paraId="65C35EF6">
      <w:pPr>
        <w:adjustRightInd w:val="0"/>
        <w:snapToGrid w:val="0"/>
        <w:spacing w:line="440" w:lineRule="exact"/>
        <w:ind w:firstLine="480" w:firstLineChars="200"/>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5.9非单一产品采购项目，采购人应当根据采购项目技术构成、产品价格比重等合理确定核心产品，并在【</w:t>
      </w:r>
      <w:r>
        <w:rPr>
          <w:rFonts w:hint="eastAsia" w:ascii="宋体" w:hAnsi="宋体" w:eastAsia="宋体" w:cs="Times New Roman"/>
          <w:b/>
          <w:color w:val="auto"/>
          <w:sz w:val="24"/>
          <w:szCs w:val="24"/>
          <w:highlight w:val="none"/>
        </w:rPr>
        <w:t>评标方法及标准前附表</w:t>
      </w:r>
      <w:r>
        <w:rPr>
          <w:rFonts w:hint="eastAsia" w:ascii="宋体" w:hAnsi="宋体" w:eastAsia="宋体" w:cs="Times New Roman"/>
          <w:color w:val="auto"/>
          <w:sz w:val="24"/>
          <w:szCs w:val="24"/>
          <w:highlight w:val="none"/>
        </w:rPr>
        <w:t>】中载明。多家供应商提供的核心产品品牌相同的，按前款规定处理。</w:t>
      </w:r>
    </w:p>
    <w:p w14:paraId="5DA052DF">
      <w:pPr>
        <w:adjustRightInd w:val="0"/>
        <w:snapToGrid w:val="0"/>
        <w:spacing w:line="440" w:lineRule="exact"/>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6.</w:t>
      </w:r>
      <w:r>
        <w:rPr>
          <w:rFonts w:hint="eastAsia" w:ascii="宋体" w:hAnsi="宋体" w:eastAsia="宋体" w:cs="宋体"/>
          <w:b/>
          <w:color w:val="auto"/>
          <w:sz w:val="24"/>
          <w:szCs w:val="24"/>
          <w:highlight w:val="none"/>
        </w:rPr>
        <w:t xml:space="preserve"> 确定中标候选人名单</w:t>
      </w:r>
    </w:p>
    <w:p w14:paraId="7C955D85">
      <w:pPr>
        <w:adjustRightInd w:val="0"/>
        <w:snapToGrid w:val="0"/>
        <w:spacing w:line="440" w:lineRule="exact"/>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6.1评标委员会根据评标结果确定推荐的中标候选人名单，并按投标人综合得分由高到低顺序排列，确定排名第一的投标人为中标人。中标候选人综合得分相同时，由评标委员会按照招标文件第二章第31.2款规定的方式确定中标人。</w:t>
      </w:r>
    </w:p>
    <w:p w14:paraId="44D34320">
      <w:pPr>
        <w:adjustRightInd w:val="0"/>
        <w:snapToGrid w:val="0"/>
        <w:spacing w:line="440" w:lineRule="exact"/>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7.</w:t>
      </w:r>
      <w:r>
        <w:rPr>
          <w:rFonts w:hint="eastAsia" w:ascii="宋体" w:hAnsi="宋体" w:eastAsia="宋体" w:cs="宋体"/>
          <w:b/>
          <w:color w:val="auto"/>
          <w:sz w:val="24"/>
          <w:szCs w:val="24"/>
          <w:highlight w:val="none"/>
        </w:rPr>
        <w:t>编写评标报告</w:t>
      </w:r>
    </w:p>
    <w:p w14:paraId="0D479E6D">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7.1评标</w:t>
      </w:r>
      <w:r>
        <w:rPr>
          <w:rFonts w:hint="eastAsia" w:ascii="宋体" w:hAnsi="宋体" w:eastAsia="宋体" w:cs="宋体"/>
          <w:bCs/>
          <w:color w:val="auto"/>
          <w:sz w:val="24"/>
          <w:szCs w:val="24"/>
          <w:highlight w:val="none"/>
        </w:rPr>
        <w:t>委员会</w:t>
      </w:r>
      <w:r>
        <w:rPr>
          <w:rFonts w:hint="eastAsia" w:ascii="宋体" w:hAnsi="宋体" w:eastAsia="宋体" w:cs="宋体"/>
          <w:color w:val="auto"/>
          <w:sz w:val="24"/>
          <w:szCs w:val="24"/>
          <w:highlight w:val="none"/>
        </w:rPr>
        <w:t>根据全体评标成员签字的原始评标记录和评标结果编写评标报告。</w:t>
      </w:r>
    </w:p>
    <w:p w14:paraId="45416ACF">
      <w:pPr>
        <w:adjustRightInd w:val="0"/>
        <w:snapToGrid w:val="0"/>
        <w:spacing w:line="440" w:lineRule="exact"/>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7.2</w:t>
      </w:r>
      <w:r>
        <w:rPr>
          <w:rFonts w:hint="eastAsia" w:ascii="宋体" w:hAnsi="宋体" w:eastAsia="宋体" w:cs="宋体"/>
          <w:bCs/>
          <w:color w:val="auto"/>
          <w:sz w:val="24"/>
          <w:szCs w:val="24"/>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3C3BAB9B">
      <w:pPr>
        <w:adjustRightInd w:val="0"/>
        <w:snapToGrid w:val="0"/>
        <w:spacing w:line="440" w:lineRule="exact"/>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color w:val="auto"/>
          <w:sz w:val="24"/>
          <w:szCs w:val="24"/>
          <w:highlight w:val="none"/>
        </w:rPr>
        <w:t>评标报告</w:t>
      </w:r>
      <w:r>
        <w:rPr>
          <w:rFonts w:hint="eastAsia" w:ascii="宋体" w:hAnsi="宋体" w:eastAsia="宋体" w:cs="宋体"/>
          <w:b/>
          <w:bCs/>
          <w:color w:val="auto"/>
          <w:sz w:val="24"/>
          <w:szCs w:val="24"/>
          <w:highlight w:val="none"/>
        </w:rPr>
        <w:t>复核</w:t>
      </w:r>
    </w:p>
    <w:p w14:paraId="5B7A076B">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8.1汇总完成后，除下列情形外，任何人不得修改评标结果：</w:t>
      </w:r>
    </w:p>
    <w:p w14:paraId="3102DF72">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（1）分值汇总计算错误的；</w:t>
      </w:r>
    </w:p>
    <w:p w14:paraId="1C5D64A3">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（2）分项评分超出评分标准范围的；</w:t>
      </w:r>
    </w:p>
    <w:p w14:paraId="498DE515">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（3）评标委员会成员对客观评审因素评分不一致的；</w:t>
      </w:r>
    </w:p>
    <w:p w14:paraId="40898558">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（4）经评标委员会认定评分畸高、畸低的。</w:t>
      </w:r>
    </w:p>
    <w:p w14:paraId="2AF029E1">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评标报告签署前，经复核发现存在以上情形之一的，评标委员会应当当场修改评标结果，并在评标报告中记载；评标报告签署后至中标公告发布前，采购人或者采购代理机构发现存在以上情形之一的，应当组织原评标委员会进行重新评审。</w:t>
      </w:r>
    </w:p>
    <w:p w14:paraId="0708559D">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8.2投标人对本条第一款情形提出质疑的，采购人或者采购代理机构可以组织原评标委员会进行重新评审。</w:t>
      </w:r>
    </w:p>
    <w:p w14:paraId="1E47D19E">
      <w:pPr>
        <w:adjustRightInd w:val="0"/>
        <w:snapToGrid w:val="0"/>
        <w:spacing w:line="440" w:lineRule="exact"/>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9.重新组建评标委员会进行评标</w:t>
      </w:r>
    </w:p>
    <w:p w14:paraId="626CD79C">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9.1评标委员会或者其成员存在下列情形导致评标结果无效的，采购人、采购代理机构可以重新组建评标委员会进行评标，但采购合同已经履行的除外：</w:t>
      </w:r>
    </w:p>
    <w:p w14:paraId="67AE9DBC">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（1）评标委员会组成不符合本办法规定的；</w:t>
      </w:r>
    </w:p>
    <w:p w14:paraId="126A5CE9">
      <w:pPr>
        <w:adjustRightInd w:val="0"/>
        <w:snapToGrid w:val="0"/>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（2）评标委员会及其成员独立评标受到非法干预的。</w:t>
      </w:r>
    </w:p>
    <w:p w14:paraId="7C6BDFEC">
      <w:pPr>
        <w:adjustRightInd w:val="0"/>
        <w:snapToGrid w:val="0"/>
        <w:spacing w:line="440" w:lineRule="exact"/>
        <w:ind w:firstLine="480" w:firstLineChars="200"/>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rPr>
        <w:t>9.2有违法违规行为的原评标委员会成员不得参加重新组建的评标委员会。</w:t>
      </w:r>
      <w:bookmarkStart w:id="128" w:name="EBdc17bab1878f45bfa01e996e55e8b164"/>
      <w:r>
        <w:rPr>
          <w:rFonts w:hint="eastAsia" w:ascii="宋体" w:hAnsi="宋体" w:eastAsia="宋体" w:cs="宋体"/>
          <w:color w:val="auto"/>
          <w:sz w:val="20"/>
          <w:highlight w:val="none"/>
        </w:rPr>
        <w:t xml:space="preserve"> </w:t>
      </w:r>
      <w:bookmarkEnd w:id="128"/>
    </w:p>
    <w:p w14:paraId="41CC5CC9">
      <w:pPr>
        <w:pStyle w:val="12"/>
        <w:adjustRightInd w:val="0"/>
        <w:snapToGrid w:val="0"/>
        <w:spacing w:before="156" w:beforeLines="50" w:line="360" w:lineRule="auto"/>
        <w:ind w:left="1215"/>
        <w:jc w:val="center"/>
        <w:outlineLvl w:val="0"/>
        <w:rPr>
          <w:rFonts w:hint="eastAsia" w:hAnsi="宋体" w:eastAsia="宋体" w:cs="宋体"/>
          <w:b/>
          <w:color w:val="auto"/>
          <w:sz w:val="32"/>
          <w:szCs w:val="32"/>
          <w:highlight w:val="none"/>
        </w:rPr>
      </w:pPr>
      <w:r>
        <w:rPr>
          <w:rFonts w:hint="eastAsia" w:hAnsi="宋体" w:eastAsia="宋体" w:cs="宋体"/>
          <w:bCs/>
          <w:color w:val="auto"/>
          <w:highlight w:val="none"/>
        </w:rPr>
        <w:br w:type="page"/>
      </w:r>
      <w:bookmarkStart w:id="129" w:name="_Toc6242773"/>
      <w:bookmarkStart w:id="130" w:name="_Toc966156"/>
      <w:bookmarkStart w:id="131" w:name="_Toc129095620"/>
      <w:r>
        <w:rPr>
          <w:rFonts w:hint="eastAsia" w:hAnsi="宋体" w:eastAsia="宋体" w:cs="宋体"/>
          <w:b/>
          <w:color w:val="auto"/>
          <w:sz w:val="32"/>
          <w:szCs w:val="32"/>
          <w:highlight w:val="none"/>
        </w:rPr>
        <w:t>第四章 技术规格、参数与要求</w:t>
      </w:r>
      <w:bookmarkEnd w:id="129"/>
      <w:bookmarkEnd w:id="130"/>
      <w:bookmarkEnd w:id="131"/>
    </w:p>
    <w:p w14:paraId="2006FBED">
      <w:pPr>
        <w:spacing w:line="360" w:lineRule="auto"/>
        <w:ind w:firstLine="141" w:firstLineChars="50"/>
        <w:rPr>
          <w:rFonts w:hint="eastAsia" w:ascii="宋体" w:hAnsi="宋体" w:eastAsia="宋体" w:cs="宋体"/>
          <w:b/>
          <w:bCs/>
          <w:color w:val="auto"/>
          <w:sz w:val="28"/>
          <w:szCs w:val="28"/>
          <w:highlight w:val="none"/>
        </w:rPr>
      </w:pPr>
      <w:bookmarkStart w:id="132" w:name="EB9a8ee9d69ed8461daef322c4246813af"/>
      <w:r>
        <w:rPr>
          <w:rFonts w:hint="eastAsia" w:ascii="宋体" w:hAnsi="宋体" w:eastAsia="宋体" w:cs="宋体"/>
          <w:b/>
          <w:bCs/>
          <w:color w:val="auto"/>
          <w:sz w:val="28"/>
          <w:szCs w:val="28"/>
          <w:highlight w:val="none"/>
        </w:rPr>
        <w:t>一、项目概况</w:t>
      </w:r>
    </w:p>
    <w:p w14:paraId="6F780917">
      <w:pPr>
        <w:keepNext w:val="0"/>
        <w:keepLines w:val="0"/>
        <w:pageBreakBefore w:val="0"/>
        <w:widowControl w:val="0"/>
        <w:kinsoku/>
        <w:wordWrap/>
        <w:overflowPunct/>
        <w:topLinePunct w:val="0"/>
        <w:autoSpaceDE/>
        <w:autoSpaceDN/>
        <w:bidi w:val="0"/>
        <w:adjustRightInd/>
        <w:snapToGrid/>
        <w:spacing w:line="360" w:lineRule="auto"/>
        <w:ind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项目名称：创新药物及医疗器械研发中心设备采购及安装项目</w:t>
      </w:r>
    </w:p>
    <w:p w14:paraId="72A5B30E">
      <w:pPr>
        <w:keepNext w:val="0"/>
        <w:keepLines w:val="0"/>
        <w:pageBreakBefore w:val="0"/>
        <w:widowControl w:val="0"/>
        <w:kinsoku/>
        <w:wordWrap/>
        <w:overflowPunct/>
        <w:topLinePunct w:val="0"/>
        <w:autoSpaceDE/>
        <w:autoSpaceDN/>
        <w:bidi w:val="0"/>
        <w:adjustRightInd/>
        <w:snapToGrid/>
        <w:spacing w:line="360" w:lineRule="auto"/>
        <w:ind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项目概况：多层工业建筑，丁类厂房，采用框架结构，地下一层，耐火等级为一级，地上五层，耐火等级为二级。建筑面积约：8953.50m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，建筑总高度23.5m，层高4.5m。抗震设防烈度6度，每层为一个防火分区，每个防火分区的建筑面积均小于2000m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w:t>
      </w:r>
    </w:p>
    <w:p w14:paraId="2759C8A4">
      <w:pPr>
        <w:keepNext w:val="0"/>
        <w:keepLines w:val="0"/>
        <w:pageBreakBefore w:val="0"/>
        <w:widowControl w:val="0"/>
        <w:kinsoku/>
        <w:wordWrap/>
        <w:overflowPunct/>
        <w:topLinePunct w:val="0"/>
        <w:autoSpaceDE/>
        <w:autoSpaceDN/>
        <w:bidi w:val="0"/>
        <w:adjustRightInd/>
        <w:snapToGrid/>
        <w:spacing w:line="360" w:lineRule="auto"/>
        <w:ind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本次设计范围为原有丁类车间内部地下一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地上五层装修项目，不改变原有外立面、楼梯间。改造区域</w:t>
      </w:r>
      <w:r>
        <w:rPr>
          <w:rFonts w:hint="eastAsia" w:ascii="宋体" w:hAnsi="宋体" w:eastAsia="宋体" w:cs="宋体"/>
          <w:color w:val="auto"/>
          <w:sz w:val="24"/>
          <w:szCs w:val="24"/>
          <w:highlight w:val="none"/>
          <w:lang w:eastAsia="zh-CN"/>
        </w:rPr>
        <w:t>详见</w:t>
      </w:r>
      <w:r>
        <w:rPr>
          <w:rFonts w:hint="eastAsia" w:ascii="宋体" w:hAnsi="宋体" w:eastAsia="宋体" w:cs="宋体"/>
          <w:color w:val="auto"/>
          <w:sz w:val="24"/>
          <w:szCs w:val="24"/>
          <w:highlight w:val="none"/>
        </w:rPr>
        <w:t>平面图，装修面积约8356.95m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，主要用途为工业类实验室及实验动物用房。</w:t>
      </w:r>
    </w:p>
    <w:p w14:paraId="37C78A54">
      <w:pPr>
        <w:keepNext w:val="0"/>
        <w:keepLines w:val="0"/>
        <w:pageBreakBefore w:val="0"/>
        <w:widowControl w:val="0"/>
        <w:kinsoku/>
        <w:wordWrap/>
        <w:overflowPunct/>
        <w:topLinePunct w:val="0"/>
        <w:autoSpaceDE/>
        <w:autoSpaceDN/>
        <w:bidi w:val="0"/>
        <w:adjustRightInd/>
        <w:snapToGrid/>
        <w:spacing w:line="360" w:lineRule="auto"/>
        <w:ind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地下一层：设有暂存间、设备机房区域等；一层：普通级兔实验室及辅助区、手术区、影像区、饲料库房、垫料库房、监控室等； 二层：普通级大动物犬/猴饲养区及辅助区、安全药理、吸入试验区、清洗区及其他公共辅房区域等；三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四层SPF大小鼠饲养区及辅助区、解剖区及辅助区、集中清洗消毒区、洁保区、公共辅房区域等。五层：空调机房、洗衣房等。</w:t>
      </w:r>
    </w:p>
    <w:p w14:paraId="42256ACD">
      <w:pPr>
        <w:numPr>
          <w:ilvl w:val="0"/>
          <w:numId w:val="0"/>
        </w:numPr>
        <w:tabs>
          <w:tab w:val="left" w:pos="3093"/>
        </w:tabs>
        <w:spacing w:line="360" w:lineRule="auto"/>
        <w:ind w:firstLine="137" w:firstLineChars="50"/>
        <w:outlineLvl w:val="0"/>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kern w:val="2"/>
          <w:sz w:val="28"/>
          <w:szCs w:val="28"/>
          <w:highlight w:val="none"/>
          <w:lang w:val="en-US" w:eastAsia="zh-CN" w:bidi="ar-SA"/>
        </w:rPr>
        <w:t>二、</w:t>
      </w:r>
      <w:r>
        <w:rPr>
          <w:rFonts w:hint="eastAsia" w:ascii="宋体" w:hAnsi="宋体" w:eastAsia="宋体" w:cs="宋体"/>
          <w:b/>
          <w:bCs/>
          <w:color w:val="auto"/>
          <w:spacing w:val="-4"/>
          <w:sz w:val="28"/>
          <w:szCs w:val="28"/>
          <w:highlight w:val="none"/>
        </w:rPr>
        <w:t>项目预算</w:t>
      </w:r>
    </w:p>
    <w:tbl>
      <w:tblPr>
        <w:tblStyle w:val="19"/>
        <w:tblW w:w="4998" w:type="pct"/>
        <w:tblInd w:w="0" w:type="dxa"/>
        <w:tblLayout w:type="autofit"/>
        <w:tblCellMar>
          <w:top w:w="0" w:type="dxa"/>
          <w:left w:w="108" w:type="dxa"/>
          <w:bottom w:w="0" w:type="dxa"/>
          <w:right w:w="108" w:type="dxa"/>
        </w:tblCellMar>
      </w:tblPr>
      <w:tblGrid>
        <w:gridCol w:w="1128"/>
        <w:gridCol w:w="5778"/>
        <w:gridCol w:w="3772"/>
      </w:tblGrid>
      <w:tr w14:paraId="06E61B5C">
        <w:trPr>
          <w:trHeight w:val="540" w:hRule="atLeast"/>
        </w:trPr>
        <w:tc>
          <w:tcPr>
            <w:tcW w:w="5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8941E">
            <w:pPr>
              <w:widowControl/>
              <w:spacing w:line="360" w:lineRule="auto"/>
              <w:ind w:firstLine="120" w:firstLineChars="5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序号</w:t>
            </w:r>
          </w:p>
        </w:tc>
        <w:tc>
          <w:tcPr>
            <w:tcW w:w="2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AF3C6">
            <w:pPr>
              <w:widowControl/>
              <w:spacing w:line="360" w:lineRule="auto"/>
              <w:ind w:firstLine="120" w:firstLineChars="5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分项名称</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08F60F22">
            <w:pPr>
              <w:widowControl/>
              <w:spacing w:line="360" w:lineRule="auto"/>
              <w:ind w:firstLine="120" w:firstLineChars="5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分项预算上限价（元）</w:t>
            </w:r>
          </w:p>
        </w:tc>
      </w:tr>
      <w:tr w14:paraId="3DAAF957">
        <w:tblPrEx>
          <w:tblCellMar>
            <w:top w:w="0" w:type="dxa"/>
            <w:left w:w="108" w:type="dxa"/>
            <w:bottom w:w="0" w:type="dxa"/>
            <w:right w:w="108" w:type="dxa"/>
          </w:tblCellMar>
        </w:tblPrEx>
        <w:trPr>
          <w:trHeight w:val="540" w:hRule="atLeast"/>
        </w:trPr>
        <w:tc>
          <w:tcPr>
            <w:tcW w:w="528" w:type="pct"/>
            <w:tcBorders>
              <w:top w:val="single" w:color="000000" w:sz="4" w:space="0"/>
              <w:left w:val="single" w:color="000000" w:sz="4" w:space="0"/>
              <w:bottom w:val="single" w:color="000000" w:sz="4" w:space="0"/>
              <w:right w:val="single" w:color="000000" w:sz="4" w:space="0"/>
            </w:tcBorders>
            <w:noWrap/>
            <w:vAlign w:val="center"/>
          </w:tcPr>
          <w:p w14:paraId="690EBF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2704" w:type="pct"/>
            <w:tcBorders>
              <w:top w:val="single" w:color="000000" w:sz="4" w:space="0"/>
              <w:left w:val="single" w:color="000000" w:sz="4" w:space="0"/>
              <w:bottom w:val="single" w:color="000000" w:sz="4" w:space="0"/>
              <w:right w:val="single" w:color="000000" w:sz="4" w:space="0"/>
            </w:tcBorders>
            <w:noWrap w:val="0"/>
            <w:vAlign w:val="center"/>
          </w:tcPr>
          <w:p w14:paraId="257CAA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组合式空调机组及配套设施采购和安装项目</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6E42AE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13304914.45</w:t>
            </w:r>
          </w:p>
        </w:tc>
      </w:tr>
      <w:tr w14:paraId="16D03EE9">
        <w:tblPrEx>
          <w:tblCellMar>
            <w:top w:w="0" w:type="dxa"/>
            <w:left w:w="108" w:type="dxa"/>
            <w:bottom w:w="0" w:type="dxa"/>
            <w:right w:w="108" w:type="dxa"/>
          </w:tblCellMar>
        </w:tblPrEx>
        <w:trPr>
          <w:trHeight w:val="540" w:hRule="atLeast"/>
        </w:trPr>
        <w:tc>
          <w:tcPr>
            <w:tcW w:w="528" w:type="pct"/>
            <w:tcBorders>
              <w:top w:val="single" w:color="000000" w:sz="4" w:space="0"/>
              <w:left w:val="single" w:color="000000" w:sz="4" w:space="0"/>
              <w:bottom w:val="single" w:color="000000" w:sz="4" w:space="0"/>
              <w:right w:val="single" w:color="000000" w:sz="4" w:space="0"/>
            </w:tcBorders>
            <w:noWrap/>
            <w:vAlign w:val="center"/>
          </w:tcPr>
          <w:p w14:paraId="6F2E4E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2704" w:type="pct"/>
            <w:tcBorders>
              <w:top w:val="single" w:color="000000" w:sz="4" w:space="0"/>
              <w:left w:val="single" w:color="000000" w:sz="4" w:space="0"/>
              <w:bottom w:val="single" w:color="000000" w:sz="4" w:space="0"/>
              <w:right w:val="single" w:color="000000" w:sz="4" w:space="0"/>
            </w:tcBorders>
            <w:noWrap w:val="0"/>
            <w:vAlign w:val="center"/>
          </w:tcPr>
          <w:p w14:paraId="71DACE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实验室环境和自控系统设备采购和安装项目</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07F2FF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6193767.64</w:t>
            </w:r>
          </w:p>
        </w:tc>
      </w:tr>
      <w:tr w14:paraId="4A9BADF2">
        <w:tblPrEx>
          <w:tblCellMar>
            <w:top w:w="0" w:type="dxa"/>
            <w:left w:w="108" w:type="dxa"/>
            <w:bottom w:w="0" w:type="dxa"/>
            <w:right w:w="108" w:type="dxa"/>
          </w:tblCellMar>
        </w:tblPrEx>
        <w:trPr>
          <w:trHeight w:val="677" w:hRule="atLeast"/>
        </w:trPr>
        <w:tc>
          <w:tcPr>
            <w:tcW w:w="528" w:type="pct"/>
            <w:tcBorders>
              <w:top w:val="single" w:color="000000" w:sz="4" w:space="0"/>
              <w:left w:val="single" w:color="000000" w:sz="4" w:space="0"/>
              <w:bottom w:val="single" w:color="000000" w:sz="4" w:space="0"/>
              <w:right w:val="single" w:color="000000" w:sz="4" w:space="0"/>
            </w:tcBorders>
            <w:noWrap/>
            <w:vAlign w:val="center"/>
          </w:tcPr>
          <w:p w14:paraId="467F0A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2704" w:type="pct"/>
            <w:tcBorders>
              <w:top w:val="single" w:color="000000" w:sz="4" w:space="0"/>
              <w:left w:val="single" w:color="000000" w:sz="4" w:space="0"/>
              <w:bottom w:val="single" w:color="000000" w:sz="4" w:space="0"/>
              <w:right w:val="single" w:color="000000" w:sz="4" w:space="0"/>
            </w:tcBorders>
            <w:noWrap w:val="0"/>
            <w:vAlign w:val="center"/>
          </w:tcPr>
          <w:p w14:paraId="60D5EFA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实验室空气处理末端设备采购和安装项目</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10FF5F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13340558.24</w:t>
            </w:r>
          </w:p>
        </w:tc>
      </w:tr>
      <w:tr w14:paraId="0D46492A">
        <w:tblPrEx>
          <w:tblCellMar>
            <w:top w:w="0" w:type="dxa"/>
            <w:left w:w="108" w:type="dxa"/>
            <w:bottom w:w="0" w:type="dxa"/>
            <w:right w:w="108" w:type="dxa"/>
          </w:tblCellMar>
        </w:tblPrEx>
        <w:trPr>
          <w:trHeight w:val="675" w:hRule="atLeast"/>
        </w:trPr>
        <w:tc>
          <w:tcPr>
            <w:tcW w:w="528" w:type="pct"/>
            <w:tcBorders>
              <w:top w:val="single" w:color="000000" w:sz="4" w:space="0"/>
              <w:left w:val="single" w:color="000000" w:sz="4" w:space="0"/>
              <w:bottom w:val="single" w:color="000000" w:sz="4" w:space="0"/>
              <w:right w:val="single" w:color="000000" w:sz="4" w:space="0"/>
            </w:tcBorders>
            <w:noWrap/>
            <w:vAlign w:val="center"/>
          </w:tcPr>
          <w:p w14:paraId="4B19F7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2704" w:type="pct"/>
            <w:tcBorders>
              <w:top w:val="single" w:color="000000" w:sz="4" w:space="0"/>
              <w:left w:val="single" w:color="000000" w:sz="4" w:space="0"/>
              <w:bottom w:val="single" w:color="000000" w:sz="4" w:space="0"/>
              <w:right w:val="single" w:color="000000" w:sz="4" w:space="0"/>
            </w:tcBorders>
            <w:noWrap w:val="0"/>
            <w:vAlign w:val="center"/>
          </w:tcPr>
          <w:p w14:paraId="57DCFF1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实验室一体化供气系统设备采购和安装项目</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2178BF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415599.80</w:t>
            </w:r>
          </w:p>
        </w:tc>
      </w:tr>
      <w:tr w14:paraId="0645FCB3">
        <w:tblPrEx>
          <w:tblCellMar>
            <w:top w:w="0" w:type="dxa"/>
            <w:left w:w="108" w:type="dxa"/>
            <w:bottom w:w="0" w:type="dxa"/>
            <w:right w:w="108" w:type="dxa"/>
          </w:tblCellMar>
        </w:tblPrEx>
        <w:trPr>
          <w:trHeight w:val="675" w:hRule="atLeast"/>
        </w:trPr>
        <w:tc>
          <w:tcPr>
            <w:tcW w:w="528" w:type="pct"/>
            <w:tcBorders>
              <w:top w:val="single" w:color="000000" w:sz="4" w:space="0"/>
              <w:left w:val="single" w:color="000000" w:sz="4" w:space="0"/>
              <w:bottom w:val="single" w:color="000000" w:sz="4" w:space="0"/>
              <w:right w:val="single" w:color="000000" w:sz="4" w:space="0"/>
            </w:tcBorders>
            <w:noWrap/>
            <w:vAlign w:val="center"/>
          </w:tcPr>
          <w:p w14:paraId="5BD95B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2704" w:type="pct"/>
            <w:tcBorders>
              <w:top w:val="single" w:color="000000" w:sz="4" w:space="0"/>
              <w:left w:val="single" w:color="000000" w:sz="4" w:space="0"/>
              <w:bottom w:val="single" w:color="000000" w:sz="4" w:space="0"/>
              <w:right w:val="single" w:color="000000" w:sz="4" w:space="0"/>
            </w:tcBorders>
            <w:noWrap w:val="0"/>
            <w:vAlign w:val="center"/>
          </w:tcPr>
          <w:p w14:paraId="26470F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实验室成套污水处理设备采购及安装项目</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3060EB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2041074.31</w:t>
            </w:r>
          </w:p>
        </w:tc>
      </w:tr>
      <w:tr w14:paraId="037EE70A">
        <w:tblPrEx>
          <w:tblCellMar>
            <w:top w:w="0" w:type="dxa"/>
            <w:left w:w="108" w:type="dxa"/>
            <w:bottom w:w="0" w:type="dxa"/>
            <w:right w:w="108" w:type="dxa"/>
          </w:tblCellMar>
        </w:tblPrEx>
        <w:trPr>
          <w:trHeight w:val="740" w:hRule="atLeast"/>
        </w:trPr>
        <w:tc>
          <w:tcPr>
            <w:tcW w:w="528" w:type="pct"/>
            <w:tcBorders>
              <w:top w:val="single" w:color="000000" w:sz="4" w:space="0"/>
              <w:left w:val="single" w:color="000000" w:sz="4" w:space="0"/>
              <w:bottom w:val="single" w:color="000000" w:sz="4" w:space="0"/>
              <w:right w:val="single" w:color="000000" w:sz="4" w:space="0"/>
            </w:tcBorders>
            <w:noWrap/>
            <w:vAlign w:val="center"/>
          </w:tcPr>
          <w:p w14:paraId="5BEA22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2704" w:type="pct"/>
            <w:tcBorders>
              <w:top w:val="single" w:color="000000" w:sz="4" w:space="0"/>
              <w:left w:val="single" w:color="000000" w:sz="4" w:space="0"/>
              <w:bottom w:val="single" w:color="000000" w:sz="4" w:space="0"/>
              <w:right w:val="single" w:color="000000" w:sz="4" w:space="0"/>
            </w:tcBorders>
            <w:noWrap w:val="0"/>
            <w:vAlign w:val="center"/>
          </w:tcPr>
          <w:p w14:paraId="5BA422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动物房实验室装配式设施采购及安装项目</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298001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14699523.35</w:t>
            </w:r>
          </w:p>
        </w:tc>
      </w:tr>
      <w:tr w14:paraId="1E45C3B6">
        <w:tblPrEx>
          <w:tblCellMar>
            <w:top w:w="0" w:type="dxa"/>
            <w:left w:w="108" w:type="dxa"/>
            <w:bottom w:w="0" w:type="dxa"/>
            <w:right w:w="108" w:type="dxa"/>
          </w:tblCellMar>
        </w:tblPrEx>
        <w:trPr>
          <w:trHeight w:val="675" w:hRule="atLeast"/>
        </w:trPr>
        <w:tc>
          <w:tcPr>
            <w:tcW w:w="3233" w:type="pct"/>
            <w:gridSpan w:val="2"/>
            <w:tcBorders>
              <w:top w:val="single" w:color="000000" w:sz="4" w:space="0"/>
              <w:left w:val="single" w:color="000000" w:sz="4" w:space="0"/>
              <w:bottom w:val="single" w:color="000000" w:sz="4" w:space="0"/>
              <w:right w:val="single" w:color="000000" w:sz="4" w:space="0"/>
            </w:tcBorders>
            <w:noWrap/>
            <w:vAlign w:val="center"/>
          </w:tcPr>
          <w:p w14:paraId="746EE19A">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合计</w:t>
            </w:r>
          </w:p>
        </w:tc>
        <w:tc>
          <w:tcPr>
            <w:tcW w:w="1766" w:type="pct"/>
            <w:tcBorders>
              <w:top w:val="single" w:color="000000" w:sz="4" w:space="0"/>
              <w:left w:val="single" w:color="000000" w:sz="4" w:space="0"/>
              <w:bottom w:val="single" w:color="000000" w:sz="4" w:space="0"/>
              <w:right w:val="single" w:color="000000" w:sz="4" w:space="0"/>
            </w:tcBorders>
            <w:noWrap/>
            <w:vAlign w:val="center"/>
          </w:tcPr>
          <w:p w14:paraId="6585E0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49995437.79</w:t>
            </w:r>
          </w:p>
        </w:tc>
      </w:tr>
    </w:tbl>
    <w:p w14:paraId="194E04F5">
      <w:pPr>
        <w:tabs>
          <w:tab w:val="left" w:pos="3093"/>
        </w:tabs>
        <w:spacing w:line="360" w:lineRule="auto"/>
        <w:ind w:firstLine="116" w:firstLineChars="50"/>
        <w:outlineLvl w:val="0"/>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注：投标报价中的分项价格不得超过分项预算上限价，否则视为无效投标（★）。</w:t>
      </w:r>
    </w:p>
    <w:p w14:paraId="3958DF2F">
      <w:pPr>
        <w:tabs>
          <w:tab w:val="left" w:pos="3093"/>
        </w:tabs>
        <w:spacing w:line="360" w:lineRule="auto"/>
        <w:ind w:firstLine="137" w:firstLineChars="50"/>
        <w:outlineLvl w:val="0"/>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rPr>
        <w:t>三、项目清单及明细</w:t>
      </w:r>
    </w:p>
    <w:tbl>
      <w:tblPr>
        <w:tblStyle w:val="19"/>
        <w:tblW w:w="4999" w:type="pct"/>
        <w:tblInd w:w="0" w:type="dxa"/>
        <w:tblLayout w:type="autofit"/>
        <w:tblCellMar>
          <w:top w:w="0" w:type="dxa"/>
          <w:left w:w="108" w:type="dxa"/>
          <w:bottom w:w="0" w:type="dxa"/>
          <w:right w:w="108" w:type="dxa"/>
        </w:tblCellMar>
      </w:tblPr>
      <w:tblGrid>
        <w:gridCol w:w="834"/>
        <w:gridCol w:w="2383"/>
        <w:gridCol w:w="5186"/>
        <w:gridCol w:w="996"/>
        <w:gridCol w:w="1281"/>
      </w:tblGrid>
      <w:tr w14:paraId="60F65F0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B00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序号</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DA8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货物名称</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4F9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参数与要求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663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单位</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EE6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数量</w:t>
            </w:r>
          </w:p>
        </w:tc>
      </w:tr>
      <w:tr w14:paraId="74F55AD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411EC6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62E680DC">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组合式空调机组及配套设施采购和安装项目</w:t>
            </w:r>
          </w:p>
        </w:tc>
      </w:tr>
      <w:tr w14:paraId="2E116E2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8E305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785A883">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空调水系统</w:t>
            </w:r>
          </w:p>
        </w:tc>
      </w:tr>
      <w:tr w14:paraId="163167AC">
        <w:tblPrEx>
          <w:tblCellMar>
            <w:top w:w="0" w:type="dxa"/>
            <w:left w:w="108" w:type="dxa"/>
            <w:bottom w:w="0" w:type="dxa"/>
            <w:right w:w="108" w:type="dxa"/>
          </w:tblCellMar>
        </w:tblPrEx>
        <w:trPr>
          <w:trHeight w:val="1689"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E5E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80EC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四管制风冷螺杆冷热水机组（核心产品）</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FA63F">
            <w:pPr>
              <w:widowControl/>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1.名称：四管制风冷螺杆冷热水机组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w:t>
            </w:r>
            <w:r>
              <w:rPr>
                <w:rFonts w:hint="eastAsia" w:ascii="宋体" w:hAnsi="宋体" w:eastAsia="宋体" w:cs="宋体"/>
                <w:color w:val="auto"/>
                <w:kern w:val="0"/>
                <w:sz w:val="24"/>
                <w:szCs w:val="24"/>
                <w:highlight w:val="none"/>
                <w:lang w:eastAsia="zh-CN" w:bidi="ar"/>
              </w:rPr>
              <w:t>规格</w:t>
            </w:r>
            <w:r>
              <w:rPr>
                <w:rFonts w:hint="eastAsia" w:ascii="宋体" w:hAnsi="宋体" w:eastAsia="宋体" w:cs="宋体"/>
                <w:color w:val="auto"/>
                <w:kern w:val="0"/>
                <w:sz w:val="24"/>
                <w:szCs w:val="24"/>
                <w:highlight w:val="none"/>
                <w:lang w:bidi="ar"/>
              </w:rPr>
              <w:t>详见本章“主要设备技术参数及要求”</w:t>
            </w:r>
          </w:p>
          <w:p w14:paraId="67A8CB4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B33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566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6A927BB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6A5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4AA5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冷水循环泵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6E29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1.名称：冷水循环泵</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2.规格：立式管道循环泵，铸铁材质，户外型电机，流量160T/H，扬程33米，变频，功率30</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B09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B94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4EDCE63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3FC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ED5E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热水循环泵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003E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1.名称：热水循环泵</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2.规格：立式管道循环泵，铸铁材质，户外型电机，流量212T/H，扬程32米，变频，功率37</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FFA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694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775C7CAE">
        <w:tblPrEx>
          <w:tblCellMar>
            <w:top w:w="0" w:type="dxa"/>
            <w:left w:w="108" w:type="dxa"/>
            <w:bottom w:w="0" w:type="dxa"/>
            <w:right w:w="108" w:type="dxa"/>
          </w:tblCellMar>
        </w:tblPrEx>
        <w:trPr>
          <w:trHeight w:val="836"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C0E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157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满液式水冷螺杆冷水机组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FBB0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1.名称：满液式水冷螺杆冷水机组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w:t>
            </w:r>
            <w:r>
              <w:rPr>
                <w:rFonts w:hint="eastAsia" w:ascii="宋体" w:hAnsi="宋体" w:eastAsia="宋体" w:cs="宋体"/>
                <w:color w:val="auto"/>
                <w:kern w:val="0"/>
                <w:sz w:val="24"/>
                <w:szCs w:val="24"/>
                <w:highlight w:val="none"/>
                <w:lang w:eastAsia="zh-CN" w:bidi="ar"/>
              </w:rPr>
              <w:t>规格</w:t>
            </w:r>
            <w:r>
              <w:rPr>
                <w:rFonts w:hint="eastAsia" w:ascii="宋体" w:hAnsi="宋体" w:eastAsia="宋体" w:cs="宋体"/>
                <w:color w:val="auto"/>
                <w:kern w:val="0"/>
                <w:sz w:val="24"/>
                <w:szCs w:val="24"/>
                <w:highlight w:val="none"/>
                <w:lang w:bidi="ar"/>
              </w:rPr>
              <w:t>详见本章“主要设备技术参数及要求”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42D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2CD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AE6063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69A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98D2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冷冻水循环泵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1701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1.名称：冷冻水循环泵</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2.规格：立式管道循环泵，铸铁材质，户外型电机，流量260T/H，扬程33米，变频，功率45</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A1C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37C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82BC78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971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5AA3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冷却水循环泵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740E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1.名称：冷却水循环泵</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2.规格：立式管道循环泵，铸铁材质，户外型电机，流量325T/H，扬程24米，变频，功率45</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5C7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EC7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D348DAE">
        <w:tblPrEx>
          <w:tblCellMar>
            <w:top w:w="0" w:type="dxa"/>
            <w:left w:w="108" w:type="dxa"/>
            <w:bottom w:w="0" w:type="dxa"/>
            <w:right w:w="108" w:type="dxa"/>
          </w:tblCellMar>
        </w:tblPrEx>
        <w:trPr>
          <w:trHeight w:val="20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6CFA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DD61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方形横流冷却塔</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CE37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1.名称：方形横流冷却塔</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2.规格详见本章“主要设备技术参数及要求”。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737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A0E7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CA49149">
        <w:tblPrEx>
          <w:tblCellMar>
            <w:top w:w="0" w:type="dxa"/>
            <w:left w:w="108" w:type="dxa"/>
            <w:bottom w:w="0" w:type="dxa"/>
            <w:right w:w="108" w:type="dxa"/>
          </w:tblCellMar>
        </w:tblPrEx>
        <w:trPr>
          <w:trHeight w:val="53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4DA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2E92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定压补水装置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BFB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1.名称：定压补水装置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2.规格：立式隔膜式气压罐容积1000L，设计压力1.0MPa；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补水泵一用一备：流量2.4T/H，扬程30米，输入功率2.2kW，转速2960r/min</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11F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0FA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1BF896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6AC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F183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软水箱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366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1.名称：软水箱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2.规格：2立方</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75E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AFB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EC197F5">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234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6F7C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全自动软水器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8805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1.名称：全自动软水器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2.规格：处理水量4T/H，单阀双罐一用一备连续供水，工作压力02-0.6MPa，工作温度2~49℃，罐体承压≤0.8MPa，电源220V-2N-50HZ，耗电量3~20W，盐箱200L，树脂200L</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351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59C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B32CC15">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A51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235C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全自动加药装置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589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1.名称：全自动加药装置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2.规格：循环水量350T/H，加药箱容量200L，加药量3L/H，控制方式：定时。整机功率60W，电源220V-2N-50HZ。管道材质PVDF</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9C0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ED5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EE4F2F5">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DE9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678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冷凝水收集提升装置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F53A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1.名称：冷凝水收集提升装置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2.规格：冷凝水收集箱1.5立方米，冷凝水提升泵流量2T/H，扬程20m，功率1.5KW，一用一备。冷凝水收集箱预留纯水接口DN25，流量1.5T/H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3.含电机检查接线、电机调试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7E3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722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BE4237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0B77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CEE0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分气缸</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FB75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1.名称：分气缸</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2.规格：φ219，碳钢Q235A，承压1.6MPa</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EA4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BA3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4F5B2D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6AAE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039B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1CD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A85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9EB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3C2E6BC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910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3481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4BE3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76D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985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410C8DB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710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9FE0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DN40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49DA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08B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F583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552C98B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A08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BED4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84A4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626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ED9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2DD4918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8E6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BF30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DN65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7C25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1CE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785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3420A90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400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0098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DN80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2B96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0A1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14D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20795C2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1FA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CE5D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DN100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78A2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44D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B7F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2A81C80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354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1EB0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DN125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72F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E1A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E50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r>
      <w:tr w14:paraId="54B5EE9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6F34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CDEE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DN150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DDE3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2FE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F36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70B2207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EAC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3A68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DN200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E192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F09D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B89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r>
      <w:tr w14:paraId="7A73204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BB7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EC37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DN250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B8BA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5AC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3C4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258C08E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BCA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1E3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DN300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2F6A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E7C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45F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196403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FA4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DF67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1F04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5A7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B3F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2497444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9CD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760B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4320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64D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5E8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315721C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43E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2B46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D35A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FA6F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2E7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r>
      <w:tr w14:paraId="2D7719B2">
        <w:tblPrEx>
          <w:tblCellMar>
            <w:top w:w="0" w:type="dxa"/>
            <w:left w:w="108" w:type="dxa"/>
            <w:bottom w:w="0" w:type="dxa"/>
            <w:right w:w="108" w:type="dxa"/>
          </w:tblCellMar>
        </w:tblPrEx>
        <w:trPr>
          <w:trHeight w:val="86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23C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F048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A18F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E42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348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61DCD0E4">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14E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0645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C18D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51B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762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65B8D70">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B08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A459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3A8C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AA1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AA4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0735742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A81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ACB7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51AD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1E7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FC2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73744EF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4A9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7DF7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6384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599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E5B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098F60D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603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18B7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0924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A53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A41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1189B4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176E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59EA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768E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D5A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5DE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ACC025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004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C88A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Y过滤器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CAB4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1.名称：Y型过滤器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A2C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146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65D21E4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398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04D5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2D92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3AA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BF1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r>
      <w:tr w14:paraId="02AFCE3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BB6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9950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6F47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DF1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C59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7FAA6D8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834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D380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FE9B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2.规格：DN50；对夹式涡轮转动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977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AC0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r>
      <w:tr w14:paraId="3DD2583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D46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691E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89CD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2.规格：DN65；对夹式涡轮转动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8C7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0DC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391E7F4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CC9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25F0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ECEA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2.规格：DN80；对夹式涡轮转动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658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AC0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10E567E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BB2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82EB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2FF0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2.规格：DN100；对夹式涡轮转动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3A8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F76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0A2461E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C1E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F698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E1AD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2.规格：DN125；对夹式涡轮转动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C50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94B1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r>
      <w:tr w14:paraId="4399243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E4A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B07A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32F8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0F1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464E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74074B7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4F7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3553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1068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2.规格：DN200；对夹式涡轮转动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34F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FA0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E27073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F5D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CAA6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D866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2.规格：DN250；对夹式涡轮转动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3.材质：球墨铸铁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2A1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C2C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0C78D4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81F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3093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857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2.规格：DN300；对夹式涡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EE4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C74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181F1FC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8D9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ADF3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F8EE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150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9043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7FE51C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C68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397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35D7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5CD2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3F5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4A3FCE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904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E700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30D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40C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DA0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0EE95E8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7D1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FA7F1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0F02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DE8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8D9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224CDB2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DC0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60FE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闸阀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2F0F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1.名称：闸阀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615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986B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312A1CF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06C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F4FB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闸阀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F798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1.名称：闸阀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DFB1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811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2C684A6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C6B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8BEC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闸阀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83FC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1.名称：闸阀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3EB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428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69A611F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002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5DB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2F5B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F789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805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21F9ECD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7A7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6FAD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70A0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471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40C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65EE0C6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421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021B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2C95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A4C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E92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261FBBA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853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A2A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4F96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05F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E4A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r>
      <w:tr w14:paraId="21102A7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FF9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24C6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0D76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8EE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7AC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2714E3F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C76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400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压差旁通阀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B7CC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1.名称：压差旁通阀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AA9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9DE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45241940">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626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97FB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压差旁通阀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5960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1.名称：压差旁通阀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B0B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33C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159AEC8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5B9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0BDA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E078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E7B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BC6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1B4AC1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D15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6F16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电动双位阀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B472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1.名称：电动双位阀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4ADA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C53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D621C7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A36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D07D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电动双位阀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6BE0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1.名称：电动双位阀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C6B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146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1186D38">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901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81B7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电动双位阀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D50F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1.名称：电动双位阀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709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A4E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933BEE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D48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4E56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电动双位阀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163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1.名称：电动双位阀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5E4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677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0EE4138">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CBC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C620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自力式压差控制阀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4D3F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1.名称：自力式压差控制阀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86C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A53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22D8CD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004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C487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自力式压差控制阀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3710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1.名称：自力式压差控制阀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F64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70B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E243D8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940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06E5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手动排气阀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7CB3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1.名称：手动排气阀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555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396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r>
      <w:tr w14:paraId="5E9AC27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E90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F1B54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压力表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814D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1.名称：压力表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2.规格参数：</w:t>
            </w:r>
            <w:r>
              <w:rPr>
                <w:rFonts w:hint="eastAsia" w:ascii="宋体" w:hAnsi="宋体" w:eastAsia="宋体" w:cs="宋体"/>
                <w:color w:val="auto"/>
                <w:sz w:val="24"/>
                <w:szCs w:val="24"/>
                <w:highlight w:val="none"/>
              </w:rPr>
              <w:t>弹簧式（波登管）压力表，精度等级不低于1.5级，表盘直径≥100mm，测量范围0~1.0MPa。白底黑标，玻璃罩保护，配备关断阀。表壳材质为304不锈钢材质。</w:t>
            </w:r>
            <w:r>
              <w:rPr>
                <w:rFonts w:hint="eastAsia" w:ascii="宋体" w:hAnsi="宋体" w:eastAsia="宋体" w:cs="宋体"/>
                <w:color w:val="auto"/>
                <w:kern w:val="0"/>
                <w:sz w:val="24"/>
                <w:szCs w:val="24"/>
                <w:highlight w:val="none"/>
                <w:lang w:bidi="ar"/>
              </w:rPr>
              <w:t>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3.其他：未说明部分须满足使用功能、设计、施工及验收规范要求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607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452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w:t>
            </w:r>
          </w:p>
        </w:tc>
      </w:tr>
      <w:tr w14:paraId="3B5D754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31E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2AF92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温度计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D4253">
            <w:pPr>
              <w:widowControl/>
              <w:numPr>
                <w:ilvl w:val="0"/>
                <w:numId w:val="0"/>
              </w:numPr>
              <w:tabs>
                <w:tab w:val="left" w:pos="312"/>
              </w:tabs>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1.名称：</w:t>
            </w:r>
            <w:r>
              <w:rPr>
                <w:rFonts w:hint="eastAsia" w:ascii="宋体" w:hAnsi="宋体" w:eastAsia="宋体" w:cs="宋体"/>
                <w:color w:val="auto"/>
                <w:sz w:val="24"/>
                <w:szCs w:val="24"/>
                <w:highlight w:val="none"/>
              </w:rPr>
              <w:t>双金属温度计</w:t>
            </w:r>
          </w:p>
          <w:p w14:paraId="6E84631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2规格：精度等级不低于1.5级，表盘直径≥100mm，测量范围0~100℃。白底黑标，玻璃罩保护，传感器护套、表壳为304不锈钢材质。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B81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FB9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w:t>
            </w:r>
          </w:p>
        </w:tc>
      </w:tr>
      <w:tr w14:paraId="3198505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CA0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383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电磁阀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7803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1.名称：电磁阀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2.规格：自动加药装置；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EC8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A27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5D6E61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BA7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FA9F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安全阀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9756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1.名称：蒸汽安全阀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 含连接件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4.其他：未说明部分须满足使用功能、设计、施工及验收规范要求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4A9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62F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550C64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677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0F64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9B08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1.名称：球阀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1AD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D51E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B8736E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D72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5BC4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907D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1.名称：球阀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339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BA5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468632D0">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4F2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5BFE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自动排气阀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E2A6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1.名称：自动排气阀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5E7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F12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033D7DB9">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CD3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A0C55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15CB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1.名称：镀锌钢管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131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752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64.65</w:t>
            </w:r>
          </w:p>
        </w:tc>
      </w:tr>
      <w:tr w14:paraId="23E52628">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50F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FA28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A6B1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1.名称：镀锌钢管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53B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791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499.06</w:t>
            </w:r>
          </w:p>
        </w:tc>
      </w:tr>
      <w:tr w14:paraId="7F225153">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11FA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CDC9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DC89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1.名称：镀锌钢管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08E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A0F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180.94</w:t>
            </w:r>
          </w:p>
        </w:tc>
      </w:tr>
      <w:tr w14:paraId="6143D6B4">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882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7A9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96FE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1.名称：镀锌钢管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405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01C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205.11</w:t>
            </w:r>
          </w:p>
        </w:tc>
      </w:tr>
      <w:tr w14:paraId="24379D62">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F6C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5EBB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DEFD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1.名称：镀锌钢管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8B0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780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175.98</w:t>
            </w:r>
          </w:p>
        </w:tc>
      </w:tr>
      <w:tr w14:paraId="02863888">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660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D94A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C8C3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1.名称：镀锌钢管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E70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B88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28.808</w:t>
            </w:r>
          </w:p>
        </w:tc>
      </w:tr>
      <w:tr w14:paraId="7474F036">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8FD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1B78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5B96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1.名称：镀锌钢管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89F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BE3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7.594</w:t>
            </w:r>
          </w:p>
        </w:tc>
      </w:tr>
      <w:tr w14:paraId="75873F65">
        <w:tblPrEx>
          <w:tblCellMar>
            <w:top w:w="0" w:type="dxa"/>
            <w:left w:w="108" w:type="dxa"/>
            <w:bottom w:w="0" w:type="dxa"/>
            <w:right w:w="108" w:type="dxa"/>
          </w:tblCellMar>
        </w:tblPrEx>
        <w:trPr>
          <w:trHeight w:val="89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2E2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6FEE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59AB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E45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CF54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115.24</w:t>
            </w:r>
          </w:p>
        </w:tc>
      </w:tr>
      <w:tr w14:paraId="4305363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97D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D455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8017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D1F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338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18.1</w:t>
            </w:r>
          </w:p>
        </w:tc>
      </w:tr>
      <w:tr w14:paraId="43581A84">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90E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2075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B33E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9C84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095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105.88</w:t>
            </w:r>
          </w:p>
        </w:tc>
      </w:tr>
      <w:tr w14:paraId="7099DAE8">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181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8558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0BF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49C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508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132.24</w:t>
            </w:r>
          </w:p>
        </w:tc>
      </w:tr>
      <w:tr w14:paraId="189C3A80">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691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812D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F4D8D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A7D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C814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31.28</w:t>
            </w:r>
          </w:p>
        </w:tc>
      </w:tr>
      <w:tr w14:paraId="27631375">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4AB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6C10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5AB6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EBA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C18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148.782</w:t>
            </w:r>
          </w:p>
        </w:tc>
      </w:tr>
      <w:tr w14:paraId="5E523DA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2C14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B5A4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E22C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CAA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62A0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244.63</w:t>
            </w:r>
          </w:p>
        </w:tc>
      </w:tr>
      <w:tr w14:paraId="432A7D31">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236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6DF3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焊接钢管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D049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3.介质：冷冻水、冷热水、热水、冷凝水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4.规格、压力等级：DN300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C8D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E86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180.55</w:t>
            </w:r>
          </w:p>
        </w:tc>
      </w:tr>
      <w:tr w14:paraId="7F8FD1C8">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6DEA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2031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高密度聚乙烯外护管聚氨酯泡沫塑料预制直埋保温管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E053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1.名称：高密度聚乙烯外护管聚氨酯泡沫塑料预制直埋保温管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E10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AA5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25.937</w:t>
            </w:r>
          </w:p>
        </w:tc>
      </w:tr>
      <w:tr w14:paraId="1784368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6AA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01F3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高密度聚乙烯外护管聚氨酯泡沫塑料预制直埋保温管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4D86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1.名称：高密度聚乙烯外护管聚氨酯泡沫塑料预制直埋保温管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081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37E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58.78</w:t>
            </w:r>
          </w:p>
        </w:tc>
      </w:tr>
      <w:tr w14:paraId="78E781FE">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025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B6C5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1448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2.材质.规格：20#无缝钢管DN125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9E5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1D3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41.932</w:t>
            </w:r>
          </w:p>
        </w:tc>
      </w:tr>
      <w:tr w14:paraId="7DAA5F7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2C5E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339E1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BA06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2.材质.规格：20#无缝钢管DN100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AA0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1E9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6.06</w:t>
            </w:r>
          </w:p>
        </w:tc>
      </w:tr>
      <w:tr w14:paraId="3B334D20">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9F9F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987A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6C91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2.材质.规格：20#无缝钢管DN80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4FE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8B0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6.652</w:t>
            </w:r>
          </w:p>
        </w:tc>
      </w:tr>
      <w:tr w14:paraId="702D5CD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BB8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2B06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29D1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规格：20#无缝钢管DN65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0D66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1DB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36.105</w:t>
            </w:r>
          </w:p>
        </w:tc>
      </w:tr>
      <w:tr w14:paraId="276DF6A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CD5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DD0D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387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规格：20#无缝钢管DN50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F18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AC2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158.536</w:t>
            </w:r>
          </w:p>
        </w:tc>
      </w:tr>
      <w:tr w14:paraId="663A262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DA0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D4F6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FCEE6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规格：20#无缝钢管DN40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270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723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33.984</w:t>
            </w:r>
          </w:p>
        </w:tc>
      </w:tr>
      <w:tr w14:paraId="3FE1AA2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97E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B7A1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2BB5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规格：20#无缝钢管DN32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B42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6A8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47.601</w:t>
            </w:r>
          </w:p>
        </w:tc>
      </w:tr>
      <w:tr w14:paraId="137C595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242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4BAD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E2B6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规格：20#无缝钢管DN25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8BF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53F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19.196</w:t>
            </w:r>
          </w:p>
        </w:tc>
      </w:tr>
      <w:tr w14:paraId="7B5AD74A">
        <w:tblPrEx>
          <w:tblCellMar>
            <w:top w:w="0" w:type="dxa"/>
            <w:left w:w="108" w:type="dxa"/>
            <w:bottom w:w="0" w:type="dxa"/>
            <w:right w:w="108" w:type="dxa"/>
          </w:tblCellMar>
        </w:tblPrEx>
        <w:trPr>
          <w:trHeight w:val="881"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214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BF7F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AB19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规格：20#无缝钢管DN20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4.介质：空调冷、热水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AE1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560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171.6</w:t>
            </w:r>
          </w:p>
        </w:tc>
      </w:tr>
      <w:tr w14:paraId="737E87E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3E5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4AEE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05D9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1.名称：减压阀（蒸汽）</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28E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A05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BA3668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3C7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EEBB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5AB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1.名称：减压阀（蒸汽）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 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98E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610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63CDBDE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182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BA76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F57A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1.名称：减压阀（蒸汽）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F42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07A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32211E1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AB2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502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BE46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1.名称：减压阀（蒸汽）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184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9B08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74589C0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814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BB6C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F69C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13D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B6B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50E37283">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78E9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3169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3526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43D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FA8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17FD37CE">
        <w:tblPrEx>
          <w:tblCellMar>
            <w:top w:w="0" w:type="dxa"/>
            <w:left w:w="108" w:type="dxa"/>
            <w:bottom w:w="0" w:type="dxa"/>
            <w:right w:w="108" w:type="dxa"/>
          </w:tblCellMar>
        </w:tblPrEx>
        <w:trPr>
          <w:trHeight w:val="4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2B2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FBA2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87F16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539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46A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r>
      <w:tr w14:paraId="42169CA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3C8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859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4369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E43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3C8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6098CD9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2DB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96A9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6A02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D99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B6C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3DB3CC2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5B5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4B4D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6CF9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367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0B7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7E53E78">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8F6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93A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54CC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15E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FF6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5600C6B5">
        <w:tblPrEx>
          <w:tblCellMar>
            <w:top w:w="0" w:type="dxa"/>
            <w:left w:w="108" w:type="dxa"/>
            <w:bottom w:w="0" w:type="dxa"/>
            <w:right w:w="108" w:type="dxa"/>
          </w:tblCellMar>
        </w:tblPrEx>
        <w:trPr>
          <w:trHeight w:val="42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CD8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436E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CE89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77B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A8F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532DB0A1">
        <w:tblPrEx>
          <w:tblCellMar>
            <w:top w:w="0" w:type="dxa"/>
            <w:left w:w="108" w:type="dxa"/>
            <w:bottom w:w="0" w:type="dxa"/>
            <w:right w:w="108" w:type="dxa"/>
          </w:tblCellMar>
        </w:tblPrEx>
        <w:trPr>
          <w:trHeight w:val="452"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C3B8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64C0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2A31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BCF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849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577E13E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2D8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67B8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截止阀（蒸汽）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2AF8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1.名称：截止阀（蒸汽）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11A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250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7E79D3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5E3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D03A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B5D8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62E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FC5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2F59F2D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627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3A4D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6F95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A1D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B12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2C8AED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8B6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8F5C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E925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84E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5FB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14613AB4">
        <w:tblPrEx>
          <w:tblCellMar>
            <w:top w:w="0" w:type="dxa"/>
            <w:left w:w="108" w:type="dxa"/>
            <w:bottom w:w="0" w:type="dxa"/>
            <w:right w:w="108" w:type="dxa"/>
          </w:tblCellMar>
        </w:tblPrEx>
        <w:trPr>
          <w:trHeight w:val="352"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3D7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DD46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DA84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352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805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D049818">
        <w:tblPrEx>
          <w:tblCellMar>
            <w:top w:w="0" w:type="dxa"/>
            <w:left w:w="108" w:type="dxa"/>
            <w:bottom w:w="0" w:type="dxa"/>
            <w:right w:w="108" w:type="dxa"/>
          </w:tblCellMar>
        </w:tblPrEx>
        <w:trPr>
          <w:trHeight w:val="31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61D6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14EB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EE52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FA78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7A4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3A7C999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34A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270D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B0FF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43A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11E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4EAC6AB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896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DCE4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7D6C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40E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891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DB6A16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6E1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C7C8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电动二通调节阀（蒸汽）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6D1B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1.名称：电动二通调节阀（蒸汽）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ABE1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32FA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376AB2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414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0C36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电动双位阀（蒸汽）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01A3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1.名称：电动双位阀（蒸汽）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962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818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69AF2CB5">
        <w:tblPrEx>
          <w:tblCellMar>
            <w:top w:w="0" w:type="dxa"/>
            <w:left w:w="108" w:type="dxa"/>
            <w:bottom w:w="0" w:type="dxa"/>
            <w:right w:w="108" w:type="dxa"/>
          </w:tblCellMar>
        </w:tblPrEx>
        <w:trPr>
          <w:trHeight w:val="3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A0D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0146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电动双位阀（蒸汽）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3665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1.名称：电动双位阀（蒸汽）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FF8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516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2B02BFA0">
        <w:tblPrEx>
          <w:tblCellMar>
            <w:top w:w="0" w:type="dxa"/>
            <w:left w:w="108" w:type="dxa"/>
            <w:bottom w:w="0" w:type="dxa"/>
            <w:right w:w="108" w:type="dxa"/>
          </w:tblCellMar>
        </w:tblPrEx>
        <w:trPr>
          <w:trHeight w:val="403"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C72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58E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电动双位阀（蒸汽）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D60B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1.名称：电动双位阀（蒸汽）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170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9DF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0C806FFE">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B50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FF14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波纹补偿器（蒸汽）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4CCE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1.名称：波纹补偿器（蒸汽）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75AB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B73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2E5774D">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0E12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9CA1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压力表（蒸汽）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F869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1.名称：压力表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w:t>
            </w:r>
            <w:r>
              <w:rPr>
                <w:rFonts w:hint="eastAsia" w:ascii="宋体" w:hAnsi="宋体" w:eastAsia="宋体" w:cs="宋体"/>
                <w:color w:val="auto"/>
                <w:sz w:val="24"/>
                <w:szCs w:val="24"/>
                <w:highlight w:val="none"/>
              </w:rPr>
              <w:t>弹簧式（波登管）压力表，精度等级不低于1.5级，表盘直径≥100mm，测量范围0~1.0MPa。白底黑标，玻璃罩保护，配备关断阀。表壳材质为304不锈钢材质。</w:t>
            </w:r>
            <w:r>
              <w:rPr>
                <w:rFonts w:hint="eastAsia" w:ascii="宋体" w:hAnsi="宋体" w:eastAsia="宋体" w:cs="宋体"/>
                <w:color w:val="auto"/>
                <w:kern w:val="0"/>
                <w:sz w:val="24"/>
                <w:szCs w:val="24"/>
                <w:highlight w:val="none"/>
                <w:lang w:bidi="ar"/>
              </w:rPr>
              <w:t>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3.其他：未说明部分须满足使用功能、设计、施工及验收规范要求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292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6BD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1C4259B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802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F1BF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温度计（蒸汽）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A9BDC">
            <w:pPr>
              <w:widowControl/>
              <w:numPr>
                <w:ilvl w:val="0"/>
                <w:numId w:val="0"/>
              </w:numPr>
              <w:tabs>
                <w:tab w:val="left" w:pos="312"/>
              </w:tabs>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1.名称：</w:t>
            </w:r>
            <w:r>
              <w:rPr>
                <w:rFonts w:hint="eastAsia" w:ascii="宋体" w:hAnsi="宋体" w:eastAsia="宋体" w:cs="宋体"/>
                <w:color w:val="auto"/>
                <w:sz w:val="24"/>
                <w:szCs w:val="24"/>
                <w:highlight w:val="none"/>
              </w:rPr>
              <w:t>双金属温度计</w:t>
            </w:r>
          </w:p>
          <w:p w14:paraId="69AE365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2.规格：精度等级不低于1.5级，表盘直径≥100mm，测量范围0~100℃。白底黑标，玻璃罩保护，传感器护套、表壳为304不锈钢材质。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385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3652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52B3FE5D">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205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CBB3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软接头（蒸汽）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7EF0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1.名称：蒸汽软接头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2.规格、材质：DN20，铸钢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0A2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6BB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4967D67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757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35EA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软接头（蒸汽）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C670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1.名称：蒸汽软接头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2.规格、材质：DN25，铸钢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94CE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983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2154F3A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1DC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066E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软接头（蒸汽）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3229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1.名称：蒸汽软接头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2.规格、材质：DN32，铸钢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D5E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E25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0C11DA6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889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EF01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软接头（蒸汽）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5A76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1.名称：蒸汽软接头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2.规格、材质：DN40，铸钢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A5A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6A2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2AEF6FD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BC1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58D1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自动排气阀（蒸汽）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B98F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1.名称：自动排气阀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4.连接方式：螺纹连接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922F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6228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1D3D9B3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32B3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4774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疏水阀组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2EDB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1.名称：疏水阀组（蒸汽）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2.规格、材质：DN25，Z-D25*3.0，球阀*3+止回阀+浮球式疏水阀，铸钢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685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1CD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6B210049">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F6A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88D5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疏水阀组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BFF9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1.名称：疏水阀组（蒸汽）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2.规格、材质：DN32，Z-D25*3.0，球阀*3+止回阀+浮球式疏水阀，铸钢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277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D1C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5A58BCC">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5FA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EAC1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疏水阀组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4119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1.名称：疏水阀组（蒸汽）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2.规格、材质：DN40，Z-D25*3.0，球阀*3+止回阀+浮球式疏水阀，铸钢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8AA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2B39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9BE90B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66E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8D36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疏水阀组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67FF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1.名称：疏水阀组（蒸汽）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2.规格、材质：DN50，Z-D25*3.0，球阀*3+止回阀+浮球式疏水阀，铸钢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7B3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8F49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A5898C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27F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0584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减压阀组（蒸汽）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86D0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1.名称：减压阀组（蒸汽）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2.规格、材质：DN40，截止阀*3+100目过滤器+GP2000减压阀+压力表*2+安全阀，铸钢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1C8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7CB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32014C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080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8662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减压阀组（蒸汽）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9DFBB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1.名称：减压阀组（蒸汽）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2.规格、材质：DN50，截止阀*3+100目过滤器+GP2000减压阀+压力表*2+安全阀，铸钢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568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0BF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1F0DC2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163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34D3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流量计（蒸汽）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4E24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1.名称：流量计（蒸汽）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2.规格、材质：DN32，铸钢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3.连接方式：法兰连接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D4E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55BA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4DF8491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189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B525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95D4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2.材质.规格：B1级橡塑保温材料</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1B6B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4CC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13.602</w:t>
            </w:r>
          </w:p>
        </w:tc>
      </w:tr>
      <w:tr w14:paraId="55E91FA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3B7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6F10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A872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2.材质.规格：B1级橡塑保温材料</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3.绝热厚度：32mm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47CE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34B3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0.388</w:t>
            </w:r>
          </w:p>
        </w:tc>
      </w:tr>
      <w:tr w14:paraId="057A749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F27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E9646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C7A9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2.材质.规格：B1级橡塑保温材料</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3.绝热厚度：36mm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E3C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950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4.21</w:t>
            </w:r>
          </w:p>
        </w:tc>
      </w:tr>
      <w:tr w14:paraId="565ECB7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F18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3E97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2698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2.材质.规格：B1级橡塑保温材料</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3.绝热厚度：40mm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9684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BD5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6.78</w:t>
            </w:r>
          </w:p>
        </w:tc>
      </w:tr>
      <w:tr w14:paraId="70675E7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92A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BA68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A9C0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1.安装部位：室外</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2.材质.规格：B1级橡塑保温材料</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3.绝热厚度：45mm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5.管道规格：≤DN200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E6B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5CA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19.784</w:t>
            </w:r>
          </w:p>
        </w:tc>
      </w:tr>
      <w:tr w14:paraId="7A7AB586">
        <w:tblPrEx>
          <w:tblCellMar>
            <w:top w:w="0" w:type="dxa"/>
            <w:left w:w="108" w:type="dxa"/>
            <w:bottom w:w="0" w:type="dxa"/>
            <w:right w:w="108" w:type="dxa"/>
          </w:tblCellMar>
        </w:tblPrEx>
        <w:trPr>
          <w:trHeight w:val="353"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9B8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B56C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4FB7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1.安装部位：室外</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2.材质.规格：B1级橡塑保温材料</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3.绝热厚度：50mm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5.管道规格：≤DN300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248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42B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3.812</w:t>
            </w:r>
          </w:p>
        </w:tc>
      </w:tr>
      <w:tr w14:paraId="311A09C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4EAE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1B98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阀门绝热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632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1.绝热材料：采用难燃B1级闭孔式发泡橡塑保温板，导热系数〈0.034w（m.K），湿阻因子大于10000，氧指数大于39%</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2.阀门规格：DN125及以下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72F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E14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530</w:t>
            </w:r>
          </w:p>
        </w:tc>
      </w:tr>
      <w:tr w14:paraId="6712AED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C6B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42AD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防潮层、保护层</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6F75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1.安装部位：室外</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2.材质.规格：0.5mm厚不锈钢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779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11D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510.443</w:t>
            </w:r>
          </w:p>
        </w:tc>
      </w:tr>
      <w:tr w14:paraId="7DD29B9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42A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7DE9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B700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1.名称：管道支架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2.管架形式：一般管道支架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015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2F2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3870</w:t>
            </w:r>
          </w:p>
        </w:tc>
      </w:tr>
      <w:tr w14:paraId="39DE213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623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D2D67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金属结构刷油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BB7E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1.除锈级别：轻绣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2.油漆品种：红丹漆、调和漆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3.结构类型：一般钢结构（支、吊架）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4.涂刷遍数、漆膜厚度：防锈漆两遍、调和漆两遍</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067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596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3870</w:t>
            </w:r>
          </w:p>
        </w:tc>
      </w:tr>
      <w:tr w14:paraId="5F7CB19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C57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744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抗震支架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FE20F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2.管架形式：详见图纸给排水、消防抗震设计说明 ，需满足GB50981-2014《建筑机电工程抗震设计规范》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AC2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D7F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1245</w:t>
            </w:r>
          </w:p>
        </w:tc>
      </w:tr>
      <w:tr w14:paraId="513EB14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7A06A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A2</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488E17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热泵机组噪声处理工程</w:t>
            </w:r>
          </w:p>
        </w:tc>
      </w:tr>
      <w:tr w14:paraId="1CA9F62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AC5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DED7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隔声屏障安装</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9FCF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框架：100*100*3mm热镀锌方管骨架，内外喷塑防腐，龙骨间距≤400mm；2.板材：100mm厚户外隔声吸声板，外侧1.2mm喷塑镀锌钢板、中层48K憎水吸声棉（外包平纹无憎水玻璃布）、内侧0.8mm镀锌穿孔板；3.包含机组四周竖向围挡、顶部向内下挂1m吸声板全部制作安装；4.满足室外耐候、设备降噪及规范设计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F2D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AE2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76.24</w:t>
            </w:r>
          </w:p>
        </w:tc>
      </w:tr>
      <w:tr w14:paraId="4292341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F1F9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B4A6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消声器安装</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780D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1.型式：户外机组顶部排风插片式消声器；2.规格：消声片厚度200mm，插片深度1250mm，片间距150mm；3.构造：1.0mm镀锌穿孔板外壳、内置48K玻璃棉（外包防水玻璃布）、镀锌龙骨加</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9F0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3AF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6AF33D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894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65A4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设备支架制作安装</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12D9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1.材质：100*100*3mm热镀锌方管；2.工艺：切割、焊接、除锈、整体喷塑防腐；3.为隔声屏障专用承重骨架，含全部连接件、辅材；4.满足户外承重、抗风、防腐规范要求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1E3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638D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1.352</w:t>
            </w:r>
          </w:p>
        </w:tc>
      </w:tr>
      <w:tr w14:paraId="0937A77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368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EC00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隔声检修门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D41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1.尺寸1200*2100mm；2.同墙体100mm隔声构造，内外镀锌钢板、憎水吸声棉填充；3.配套门框、密封胶条、锁具、合页；4.户外耐候、隔声密闭、满足机组检修使用要求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834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樘</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039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DAA347F">
        <w:tblPrEx>
          <w:tblCellMar>
            <w:top w:w="0" w:type="dxa"/>
            <w:left w:w="108" w:type="dxa"/>
            <w:bottom w:w="0" w:type="dxa"/>
            <w:right w:w="108" w:type="dxa"/>
          </w:tblCellMar>
        </w:tblPrEx>
        <w:trPr>
          <w:trHeight w:val="6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1B4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BD2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孔洞隔声封堵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E3A3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1.包含机组DN200冷热水管穿墙孔、电气电缆穿墙孔；2.采用防火隔声密封填料、防水密封胶封堵；3.封堵密实无漏声、防水耐候，满足降噪及密闭要求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81F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26C2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511CCC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6C0DE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A3</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8DB34C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空调设备</w:t>
            </w:r>
          </w:p>
        </w:tc>
      </w:tr>
      <w:tr w14:paraId="5D2E93A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A28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F510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0F50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1.名称：单通道新风机组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2.系统编号：PAU-B1F-01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3.规格：计算风量4000m3/h，额定运行风量4500m3/h，新风量4500m3/h，机外余压300Pa，风机功率4kW，预热量16.5kW，制冷量57.6kW，制热量29.7kW，功能段：进风初效段+预热段+表冷段+制热段+风机段+中效过滤+出风段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C4E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D52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0FD398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071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6BE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C69E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1.名称：吊顶新风机组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2.系统编号：PAU-1F-01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3.规格：计算风量3084.12m3/h，额定运行风量3500m3/h，新风量3084.12m3/h，机外余压200Pa，风机功率2.2kW，预热量6.8kW，制冷量41.8kW，制热量21.56kW，功能段：进风初效段+预热段+表冷段+制热段+风机段+中效过滤+出风段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BDF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911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25473DE">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B93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79C1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DF7C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1.名称：吊顶新风机组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2.系统编号：PAU-2F-01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3.规格：计算风量1538m3/h，额定运行风量2000m3/h，新风量1538m3/h，机外余压200Pa，风机功率1.1kW，预热量3.6kW，制冷量22.1kW，制热量11.4kW，功能段：进风初效段+预热段+表冷段+制热段+风机段+中效过滤+出风段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95E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753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E6DB3E3">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388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9ED0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DAC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1.名称：新风机组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2.系统编号：PAU-3F-01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3.规格：计算风量19479m3/h，额定运行风量21500m3/h，新风量19479m3/h，机外余压500Pa，风机功率15kW，预热量45.5kW，制冷量280.5kW，制热量144.8kW，功能段：进风初效段+预热段+表冷段+制热段+风机段+中效过滤+出风段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B8F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97A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940A210">
        <w:tblPrEx>
          <w:tblCellMar>
            <w:top w:w="0" w:type="dxa"/>
            <w:left w:w="108" w:type="dxa"/>
            <w:bottom w:w="0" w:type="dxa"/>
            <w:right w:w="108" w:type="dxa"/>
          </w:tblCellMar>
        </w:tblPrEx>
        <w:trPr>
          <w:trHeight w:val="773"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3FF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3518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0022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1.名称：吊顶新风机组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2.系统编号：PAU-3F-02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3.规格：计算风量2797m3/h，额定运行风量3500m3/h，新风量2797m3/h，机外余压200Pa，风机功率1.5kW，预热量6.5kW，制冷量40.3kW，制热量20.8kW，功能段：进风初效段+预热段+表冷段+制热段+风机段+中效过滤+出风段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87B3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27F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868A1D0">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0B7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CE7B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D0B2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1.名称：吊顶新风机组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2.系统编号：PAU-4F-01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3.规格：计算风量3697m3/h，额定运行风量4500m3/h，新风量3697m3/h，机外余压200Pa，风机功率2.2kW，预热量8.6kW，制冷量53.2kW，制热量27.5kW，功能段：进风初效段+预热段+表冷段+制热段+风机段+中效过滤+出风段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7B3F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9A8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3529572">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626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E197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6A7A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1.名称：双通道组合式空气处理机组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2.系统编号：MAU-1F-01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14676m3/h，额定运行风量16500m3/h，新风量16500m3/h，机外余压500Pa，风机功率15kW，预热量34.2kW，水表冷制冷量194.4kW，氟表冷制冷量77.6kW，制热量109.1kW，干蒸汽加湿，加湿量：100.4kg/h，功能段：进风段+预热段+风机段+初中效过滤+水表冷段+氟表冷段+冷凝再热+制热/再热段+加湿段+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214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840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39E8CD2">
        <w:tblPrEx>
          <w:tblCellMar>
            <w:top w:w="0" w:type="dxa"/>
            <w:left w:w="108" w:type="dxa"/>
            <w:bottom w:w="0" w:type="dxa"/>
            <w:right w:w="108" w:type="dxa"/>
          </w:tblCellMar>
        </w:tblPrEx>
        <w:trPr>
          <w:trHeight w:val="81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674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E0F5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FAEB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1.名称：单通道组合式空气处理机组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2.系统编号：MAU-1F-02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16333m3/h，额定运行风量18000m3/h，新风量18000m3/h，外余压850Pa，风机功率15kW，预热量38.1kW，水表冷制冷量271.7kW，氟表冷制冷量31kW，制热量121.4kW，干蒸汽加湿，加湿量：111.7kg/h，功能段：进风段+预热段+风机段+初中效过滤+水表冷段+氟表冷段+冷凝再热+制热/再热段+加湿段+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0BE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639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4FE78C6">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3C0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B0B0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AB72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1.名称：恒温恒湿机组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2.系统编号：MAU-1F-03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2914m3/h，额定运行风量3500m3/h，新风量3500m3/h，机外余压750Pa，风机功率3kW，制冷量54kW，制热量28.5kW，干蒸汽加湿，加湿量：19.9kg/h，功能段：进风初效段+氟表冷段+冷凝再热+制热/再热段+加湿段+风机段+中效段+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D1A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878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473F16C">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FCB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957C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A4D5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1.名称：双通道组合式空气处理机组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2.系统编号：MAU-2F-01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38288m3/h，额定运行风量42500m3/h，新风量42500m3/h，机外余压500Pa，风机功率30kW，预热量89.3kW，水表冷制冷量510.2kW，氟表冷制冷量199.4kW，制热量284.6kW，干蒸汽加湿，加湿量：261.9kg/h，功能段：进风段+预热段+风机段+初中效过滤+水表冷段+氟表冷段+冷凝再热+制热/再热段+加湿段+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487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D0A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59D4BF7">
        <w:tblPrEx>
          <w:tblCellMar>
            <w:top w:w="0" w:type="dxa"/>
            <w:left w:w="108" w:type="dxa"/>
            <w:bottom w:w="0" w:type="dxa"/>
            <w:right w:w="108" w:type="dxa"/>
          </w:tblCellMar>
        </w:tblPrEx>
        <w:trPr>
          <w:trHeight w:val="7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EAD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5CB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FD2C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1.名称：双通道组合式空气处理机组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2.系统编号：MAU-3F-01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36591m3/h，额定运行风量40500m3/h，新风量40500m3/h，机外余压850Pa，风机功率37kW，预热量85.4kW，水表冷制冷量508.6kW，氟表冷制冷量169.5kW，制热量272kW，干蒸汽加湿，加湿量：250.3kg/h，功能段：进风段+预热段+风机段+初中效过滤+水表冷段+氟表冷段+冷凝再热+制热/再热段+加湿段+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9D9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AAA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ECB1C4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2F5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EFB0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6F35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1.名称：双通道组合式空气处理机组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2.系统编号：MAU-4F-01A/B</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24982m3/h，额定运行风量27500m3/h，新风量27500m3/h，机外余压850Pa，风机功率22kW，预热量58.3kW，水表冷制冷量347.2kW，氟表冷制冷量115.7kW，制热量185.7kW，干蒸汽加湿，加湿量：170.9kg/h，功能段：进风段+预热段+风机段+初中效过滤+水表冷段+氟表冷段+冷凝再热+制热/再热段+加湿段+出风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FC8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B5A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20AFC7A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C1F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474A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FF74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1.名称：吊顶空调箱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2.系统编号：AHU-1F-01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3.规格：计算风量6599m3/h，额定运行风量7500m3/h，新风量1320m3/h，机外余压200Pa，风机功率4kW，水表冷制冷量17.6kW，氟表冷制冷量19.4kW，制热量22.2kW，功能段：混风初效+水表冷段+氟表冷段+制热/再热段+风机段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35A7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B0B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1DE62D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666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51A6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BC40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1.名称：吊顶空调箱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2.系统编号：AHU-1F-02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3.规格：计算风量4661m3/h，额定运行风量5500m3/h，新风量777m3/h，机外余压200Pa，风机功率3kW，水表冷制冷量12.4kW，氟表冷制冷量19.4kW，制热量15.7kW，功能段：混风初效+水表冷段+氟表冷段+制热/再热段+风机段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8258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E96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9A7551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202D3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A4</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613A92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r>
      <w:tr w14:paraId="4B2BEEA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33E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4F15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D833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872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85A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D0EC9D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C62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7332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7E3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EC2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B0A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E63CF9E">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367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5D9A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4BF3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AA03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9469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C34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1AFC1F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4C6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2574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2942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AA04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618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A76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9745B5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E8C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602F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AF30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AAT1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0597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932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B91707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BDE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349B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9B38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AAT2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3E4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0A0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151AE0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20C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049F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02D5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AAT3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716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5D8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649633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304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6AD8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8C49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AAT4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666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96B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81FE7C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8F1F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4C5E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7FD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APZ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FBE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234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12BDD0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043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8C73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E1C3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2APEZ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095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829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669F72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CB0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6D82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3E2F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0AAT1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50E7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25A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70997B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81E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0EB6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74D4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0AAT2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293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C04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FEFFB9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10A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A518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4514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0AAT3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889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D74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128FA3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424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7AC0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5D57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E5E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F92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24D1BD7">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0E4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DC04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740C6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37C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5B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597AA1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93A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2900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F875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RAP3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BF1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C92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CA1803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E65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7748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21BE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RAP4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1D8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62E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DCB932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19F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EF03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1240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573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E6E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812C7D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898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99FB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113A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D7C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228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4759B4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FF9F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2B4F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36F6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RAT3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95E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156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83342C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432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B7A3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8DC1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RAPky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116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82B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6F1A3E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766A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9F44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AEACD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RAPxy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953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C85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93BA97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A63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DB99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F7F1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RAPE-2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82A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618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746A06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92C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C4B2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4975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2APE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E30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174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FD9B04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AFF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3264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651B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4APE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A6C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797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4F6E58B">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225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6BE7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9F62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RAPE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26A5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45D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B82F28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F65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3635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DF6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RAPht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D6C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874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C7CABC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120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7A87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7E95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RAPdt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A80E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CA9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8DA8C8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A30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6B2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5633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4APwt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8F3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A10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53835A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9ABB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8739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E3CB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RAPE-1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23E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1F2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1893F8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58D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AA70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D053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RAT1-1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DA8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367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D6AFCA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B87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F56B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DA88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RAT1-2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7A7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7DC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3C94EC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F1E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E447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19BB2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RAT1-3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47E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A37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A43C77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22B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427D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B9EC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RAT1-4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E96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CAE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BBA259B">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B15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6B45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3EE1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RAT1-5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CE9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F39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22A4EF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199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6D61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FECC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RAP1-1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9DD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923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3C3675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E91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347B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32D0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RAP1-2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7AA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4E6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2CA261B">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79D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88B0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CFCA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RAT2-1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A7C6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D4A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45E3D7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C52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2768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D021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RAT2-2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CDB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128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5366C3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0512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F34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462EB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RAT3-1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DC1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40B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1835CB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7E6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F978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E4FC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RAT3-2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566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2B0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CA46BC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E54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187B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AA4E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4APK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DF5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BBF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F22961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CDAF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EA0B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FC64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3APK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D07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5E7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A0FEF4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01A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958A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721B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0AP1-1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F23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93A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B28B57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B4A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63EB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32FF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0AP1-3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3A1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B6E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479C55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C37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D415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FB52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0AP1-4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557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3AD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6D9C45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819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7601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B1D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0AP1-5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0D6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C7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1456D5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01F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3C78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C6A5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1APK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880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DEA9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C226E0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0B5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24D6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D046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B1APK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482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207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F1F71E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509A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A7DC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3C0B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B1ATzs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2E1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E94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928C037">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364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3A7A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B117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0APws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002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0A9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E8EE8E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7CC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F1F4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412E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1APct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65F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790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43794C6">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92B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A097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601F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1APdsa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AB27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685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2757357">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FAC1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6E23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1E12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0AP1-2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74B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51E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DC307F6">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BC2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24D9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FC44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1APmr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E89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07A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6AB84D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288D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2B06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7921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1ATU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036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29B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7A18FB6">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F02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66BEB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67B4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2APK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B6F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A7B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266623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3AC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5E80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DF3A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1AP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48F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3A1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A86330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DE7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F03F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7A2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1.名称：配电箱1AT2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C52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0C8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7B501B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6A1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65CD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9064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B1AP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AFB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1ED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07CED9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EA6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9842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871E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2AT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EC7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999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BBAB3E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E045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0DDA9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7FD1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3AT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7933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23F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52D868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66B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202F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5C60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RFAL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FB6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972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A3AB60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5125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6291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0F3B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2AP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F38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661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59DB26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226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F579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E80A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3AP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84B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533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1F3957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567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82E4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E100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1ATss1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CBE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79D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0EF0BD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37B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BDE4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2701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1ATss2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37E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AD0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BC7292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E70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6BAD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9B9B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1ATss4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9A6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CD6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E12AA17">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764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41E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D4D8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1ATss3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C72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90E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A1B1EB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252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98F2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9457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1AT1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462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C76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925AF5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A2A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0F7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8EA5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4AP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089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45F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E54C55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EDD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668D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配电箱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D31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1.名称：配电箱 4AT 2.型号：详设计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342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8F5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087404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713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49FD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919A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ACS510-01-05A-4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7E2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90B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012E41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0ED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E580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FC500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ACS510-01-12A-4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E1A3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9A4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B1CEE96">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C8C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7717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6539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ACS510-01-25A-4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2BC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18D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6B297E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89A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C994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6020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ACS510-01-31A-4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848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698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167DC60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EDF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E58E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9ABC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ACS510-01-38A-4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1DA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9B6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5F31609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20D1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FCC5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F720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ACS510-01-46A-4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A7F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9D7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79DAA7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FB2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BDDB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0CE2E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ACS510-01-60A-4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3C4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132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76EED32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47F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E22A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D09D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ACS510-01-72A-4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F40F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7FA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390505E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DEB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5E51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变频器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779B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ACS510-01-88A-4</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A92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B0A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1D04B6B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E6557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A5</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FBB044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r>
      <w:tr w14:paraId="352961E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C01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D096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5F2B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1.名称：钢制桥架-100*50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BFB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BFE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40.17</w:t>
            </w:r>
          </w:p>
        </w:tc>
      </w:tr>
      <w:tr w14:paraId="2A67B57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345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D704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0D06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1.名称：钢制桥架-150*70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02D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9EA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23.02</w:t>
            </w:r>
          </w:p>
        </w:tc>
      </w:tr>
      <w:tr w14:paraId="1D12172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7E7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3A08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FE2A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1.名称：钢制桥架-200*100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DC8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128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523.91</w:t>
            </w:r>
          </w:p>
        </w:tc>
      </w:tr>
      <w:tr w14:paraId="38A54C9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FE54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4CFD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CC35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1.名称：钢制桥架-300*100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2F5E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379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222.45</w:t>
            </w:r>
          </w:p>
        </w:tc>
      </w:tr>
      <w:tr w14:paraId="6FBCA2C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C31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3C71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A2F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1.名称：钢制桥架-500*200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D60E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7FF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13.36</w:t>
            </w:r>
          </w:p>
        </w:tc>
      </w:tr>
      <w:tr w14:paraId="7B27A34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FC3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3806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D6A9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1.名称：钢制桥架-600*200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7B6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A44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90.04</w:t>
            </w:r>
          </w:p>
        </w:tc>
      </w:tr>
      <w:tr w14:paraId="5BCCB76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390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D167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D65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1.名称：钢制桥架-800*200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3BD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0EA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49.44</w:t>
            </w:r>
          </w:p>
        </w:tc>
      </w:tr>
      <w:tr w14:paraId="03EBDE6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05613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A6</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9A36A9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灯具</w:t>
            </w:r>
          </w:p>
        </w:tc>
      </w:tr>
      <w:tr w14:paraId="0DB1CA5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463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8E10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筒灯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2EC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防水筒灯-12W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487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8B1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13CCE04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D2E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D740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杀毒中灯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C329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杀毒中灯-</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空</w:t>
            </w:r>
            <w:r>
              <w:rPr>
                <w:rFonts w:hint="eastAsia" w:ascii="宋体" w:hAnsi="宋体" w:eastAsia="宋体" w:cs="宋体"/>
                <w:color w:val="auto"/>
                <w:kern w:val="0"/>
                <w:sz w:val="24"/>
                <w:szCs w:val="24"/>
                <w:highlight w:val="none"/>
                <w:lang w:eastAsia="zh-CN" w:bidi="ar"/>
              </w:rPr>
              <w:t>〉</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E00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93F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r>
      <w:tr w14:paraId="2C02FC9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F43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1AC7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单管LED灯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9F7F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单管LED灯（含支架）-1*18W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622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452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r>
      <w:tr w14:paraId="35F33AF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6E3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2A71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2CF5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1.名称：面板式LED净化灯-24W，600*300 2.规格：24W，光通量≥2520lm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8BB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111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r>
      <w:tr w14:paraId="2DE703A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0BD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8F24C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6085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1.名称：面板式LED净化灯-30W，600*600 2.规格：30W，光通量≥3150lm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6101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BD7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r>
      <w:tr w14:paraId="710137C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FFE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C3F5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2FDF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1.名称：面板式LED净化灯-36W，900*300 2.规格：36W，光通量≥3780lm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EE4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127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275</w:t>
            </w:r>
          </w:p>
        </w:tc>
      </w:tr>
      <w:tr w14:paraId="72E2155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EE96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BF93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E667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1.名称：面板式LED净化灯-42W，900*300，红光 2.规格：42W，光通量≥4410lm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A3E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55B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r>
      <w:tr w14:paraId="4225BF4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9D5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A983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13B47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1.名称：面板式LED净化灯-48W，600*600 2.规格：48W，光通量≥5040lm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F16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9FC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r>
      <w:tr w14:paraId="2C05A71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308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E3BB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370B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1.名称：面板式LED净化灯-30W，900*300 2.规格：30W，光通量≥3150lm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C4FA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FD2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w:t>
            </w:r>
          </w:p>
        </w:tc>
      </w:tr>
      <w:tr w14:paraId="7C0436E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A86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2337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DF9B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1.名称：面板式LED净化灯</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341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A1C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11DBB6D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308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F5EA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6493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1.名称：面板式LED净化灯-48W，1200*300 2.规格：48W，光通量≥5040lm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72EE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6D9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198</w:t>
            </w:r>
          </w:p>
        </w:tc>
      </w:tr>
      <w:tr w14:paraId="5EE4319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AAE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41F8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15B59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1.名称：面板式LED净化灯-30W，1200*300，黄光 2.规格：30W，光通量≥3150lm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717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198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r>
      <w:tr w14:paraId="3C41B9F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D93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9718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D0DA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1.名称：面板式LED净化灯-36W，1200*300 2.规格：36W，光通量≥3780lm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8DF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FAD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178</w:t>
            </w:r>
          </w:p>
        </w:tc>
      </w:tr>
      <w:tr w14:paraId="4742C15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B8C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FF2B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面板式LED净化灯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EB80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1.名称：面板式LED净化灯-48W，1200*300，带应急电源，后备时间90分钟 2.规格：48W，光通量≥5040lm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4A4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03A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r>
      <w:tr w14:paraId="6F29924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C5D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FD9B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双管LED壁灯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D9FF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双管LED壁灯-2*18W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FCD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625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116</w:t>
            </w:r>
          </w:p>
        </w:tc>
      </w:tr>
      <w:tr w14:paraId="4E5724B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A9E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79F1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紫外线杀菌灯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63A9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紫外线杀菌灯-20W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DC9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EC6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r>
      <w:tr w14:paraId="6CDD9BE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F59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6D39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紫外线杀菌灯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5445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紫外线杀菌灯-30W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67D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3EA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142</w:t>
            </w:r>
          </w:p>
        </w:tc>
      </w:tr>
      <w:tr w14:paraId="79F2AB9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F905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4872B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紫外线杀菌灯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C3F6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紫外线杀菌灯-40W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5DF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CFA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w:t>
            </w:r>
          </w:p>
        </w:tc>
      </w:tr>
      <w:tr w14:paraId="5598FD86">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2F4E9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A7</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CBB7D7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开关插座</w:t>
            </w:r>
          </w:p>
        </w:tc>
      </w:tr>
      <w:tr w14:paraId="4758DD0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C24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8C60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单联单控暗开关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232C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1.名称：单联单控暗开关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4B1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5D1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w:t>
            </w:r>
          </w:p>
        </w:tc>
      </w:tr>
      <w:tr w14:paraId="49BCDE6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47A4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0C8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单联双控暗开关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E14E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1.名称：单联双控暗开关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7DF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8A2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122</w:t>
            </w:r>
          </w:p>
        </w:tc>
      </w:tr>
      <w:tr w14:paraId="299C990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71C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B0D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单相五孔插座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75C6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1.名称：单相五孔插座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46A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234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577</w:t>
            </w:r>
          </w:p>
        </w:tc>
      </w:tr>
      <w:tr w14:paraId="1108E7A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46C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C407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单相五孔防水插座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9667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1.名称：单相五孔防水插座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AF7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001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221</w:t>
            </w:r>
          </w:p>
        </w:tc>
      </w:tr>
      <w:tr w14:paraId="65F330F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460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551B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地插</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B85F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1.名称：地插</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15D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528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5C2C019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0E5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B3B3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调光开关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9B57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1.名称：调光开关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222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823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w:t>
            </w:r>
          </w:p>
        </w:tc>
      </w:tr>
      <w:tr w14:paraId="04E1E74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791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B9DD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三联单控暗开关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5722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1.名称：三联单控暗开关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363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BCD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r>
      <w:tr w14:paraId="202A8EB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0964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B7D2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双联单控暗开关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8BA7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1.名称：双联单控暗开关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0FD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BBD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117</w:t>
            </w:r>
          </w:p>
        </w:tc>
      </w:tr>
      <w:tr w14:paraId="41788F8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E67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90A0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温控开关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757D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1.名称：温控开关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2.规格：220V/10A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468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E8C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87</w:t>
            </w:r>
          </w:p>
        </w:tc>
      </w:tr>
      <w:tr w14:paraId="097FC84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04A1D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A8</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774285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w:t>
            </w:r>
          </w:p>
        </w:tc>
      </w:tr>
      <w:tr w14:paraId="11209B3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CB74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CB08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BBTRZ-4x25+16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50D4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BBTRZ-4x25+16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5564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F8F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185</w:t>
            </w:r>
          </w:p>
        </w:tc>
      </w:tr>
      <w:tr w14:paraId="7DD3286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F67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D0AD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YJV-3*120+1*70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53042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YJV-3*120+1*70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8BE6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BF9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89.25</w:t>
            </w:r>
          </w:p>
        </w:tc>
      </w:tr>
      <w:tr w14:paraId="5B585CE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DC6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F179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YJV-3*150+1*70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3F08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YJV-3*150+1*70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803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64C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620.94</w:t>
            </w:r>
          </w:p>
        </w:tc>
      </w:tr>
      <w:tr w14:paraId="196717C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703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327F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YJV-3*185+1*95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0695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YJV-3*185+1*95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A0F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F6B1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265.88</w:t>
            </w:r>
          </w:p>
        </w:tc>
      </w:tr>
      <w:tr w14:paraId="08CB788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8FD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C6F3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YJV-3*240+1*120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3C6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YJV-3*240+1*120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5EC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D35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333.61</w:t>
            </w:r>
          </w:p>
        </w:tc>
      </w:tr>
      <w:tr w14:paraId="54FE988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0AC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99ED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YJV-3*240+2*120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83BD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YJV-3*240+2*120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B89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3C6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541.76</w:t>
            </w:r>
          </w:p>
        </w:tc>
      </w:tr>
      <w:tr w14:paraId="2F42B56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859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24F3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YJV-4*120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4795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YJV-4*120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321D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D8A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254.12</w:t>
            </w:r>
          </w:p>
        </w:tc>
      </w:tr>
      <w:tr w14:paraId="0C33450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C61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FC852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ZN-YJV-3x2.5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04A4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1.名称：电力电缆2.规格：电力电缆 ZN-YJV-3x2.5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AEA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ABC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r>
      <w:tr w14:paraId="7E0A7DF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0EC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FBC0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Z-YJV-2*10+PE10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A736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Z-YJV-2*10+PE10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D3B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B37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324.21</w:t>
            </w:r>
          </w:p>
        </w:tc>
      </w:tr>
      <w:tr w14:paraId="55D9E6F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3F6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C797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Z-YJV-2*2.5+PE2.5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F31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Z-YJV-2*2.5+PE2.5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EC2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600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128.28</w:t>
            </w:r>
          </w:p>
        </w:tc>
      </w:tr>
      <w:tr w14:paraId="1C47482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563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535E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Z-YJV-2*6+PE6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A7A9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Z-YJV-2*6+PE6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020A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3E7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134.54</w:t>
            </w:r>
          </w:p>
        </w:tc>
      </w:tr>
      <w:tr w14:paraId="79C1F81E">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472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99EA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Z-YJV-3x4+E4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A0A6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Z-YJV-3x4+E4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0A2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31E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w:t>
            </w:r>
          </w:p>
        </w:tc>
      </w:tr>
      <w:tr w14:paraId="77D112D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6FAE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4909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Z-YJV-3*10+E10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8CA9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Z-YJV-3*10+E10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207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604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71.26</w:t>
            </w:r>
          </w:p>
        </w:tc>
      </w:tr>
      <w:tr w14:paraId="23E7231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A62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A4AB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Z-YJV-3*120+2*70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980E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Z-YJV-3*120+2*70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BBB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11D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171.85</w:t>
            </w:r>
          </w:p>
        </w:tc>
      </w:tr>
      <w:tr w14:paraId="75F94EC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BAA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BE65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Z-YJV-3*150+2*70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EB6D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Z-YJV-3*150+2*70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5FF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3A5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78.74</w:t>
            </w:r>
          </w:p>
        </w:tc>
      </w:tr>
      <w:tr w14:paraId="4C02DFBD">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55C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22E0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Z-YJV-3*16+E16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917B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Z-YJV-3*16+E16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584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CA1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80.41</w:t>
            </w:r>
          </w:p>
        </w:tc>
      </w:tr>
      <w:tr w14:paraId="4877531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EDE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B7BD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Z-YJV-3*185+2*95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688C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Z-YJV-3*185+2*95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E3B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A5B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325.95</w:t>
            </w:r>
          </w:p>
        </w:tc>
      </w:tr>
      <w:tr w14:paraId="107A5E7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E70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28C4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Z-YJV-3*2.5+E2.5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BE74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Z-YJV-3*2.5+E2.5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1D1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330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88.27</w:t>
            </w:r>
          </w:p>
        </w:tc>
      </w:tr>
      <w:tr w14:paraId="0D24F8E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C2F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ADD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Z-YJV-3*2.5+PE2.5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C35C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Z-YJV-3*2.5+PE2.5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23E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919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817.09</w:t>
            </w:r>
          </w:p>
        </w:tc>
      </w:tr>
      <w:tr w14:paraId="0C0D604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816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FFF4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Z-YJV-3*240+2*120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C361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Z-YJV-3*240+2*120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F12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C70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85.08</w:t>
            </w:r>
          </w:p>
        </w:tc>
      </w:tr>
      <w:tr w14:paraId="75DC836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A25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5657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Z-YJV-3*25+E16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6281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Z-YJV-3*25+E16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96D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477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53.14</w:t>
            </w:r>
          </w:p>
        </w:tc>
      </w:tr>
      <w:tr w14:paraId="37F8875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56AE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2F3A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Z-YJV-3*35+2*16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2622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Z-YJV-3*35+2*16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EC9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9E8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69.97</w:t>
            </w:r>
          </w:p>
        </w:tc>
      </w:tr>
      <w:tr w14:paraId="3935607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B05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3FC6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Z-YJV-3*35+E16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02E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Z-YJV-3*35+E16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F23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A2E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441.83</w:t>
            </w:r>
          </w:p>
        </w:tc>
      </w:tr>
      <w:tr w14:paraId="4AA25F0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B45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E628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Z-YJV-3*95+2*50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0793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Z-YJV-3*95+2*50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C40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948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77.92</w:t>
            </w:r>
          </w:p>
        </w:tc>
      </w:tr>
      <w:tr w14:paraId="499B505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9C5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C2F4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WDZ-YJY-4x2.5+E2.5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A77C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WDZ-YJY-4x2.5+E2.5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7E8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EBF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w:t>
            </w:r>
          </w:p>
        </w:tc>
      </w:tr>
      <w:tr w14:paraId="085C8D9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691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FD4B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Z-YJV-4*10+PE10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0869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Z-YJV-4*10+PE10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318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B203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124.7</w:t>
            </w:r>
          </w:p>
        </w:tc>
      </w:tr>
      <w:tr w14:paraId="3B57B58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0DC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6D28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Z-YJV-4*150+PE70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294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Z-YJV-4*150+PE70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DF2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4DA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224.22</w:t>
            </w:r>
          </w:p>
        </w:tc>
      </w:tr>
      <w:tr w14:paraId="00C677A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D45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33188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Z-YJV-4*150+PE95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2262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Z-YJV-4*150+PE95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85E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130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71.33</w:t>
            </w:r>
          </w:p>
        </w:tc>
      </w:tr>
      <w:tr w14:paraId="754312D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7F6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F82A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Z-YJV-4*16+PE16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49FE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Z-YJV-4*16+PE16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6B8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B9A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239.47</w:t>
            </w:r>
          </w:p>
        </w:tc>
      </w:tr>
      <w:tr w14:paraId="1ADA413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A1E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D7B3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Z-YJV-4*185+PE95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A19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Z-YJV-4*185+PE95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395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253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11.56</w:t>
            </w:r>
          </w:p>
        </w:tc>
      </w:tr>
      <w:tr w14:paraId="029E3C2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E70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C6C2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Z-YJV-4*240+PE120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2A63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Z-YJV-4*240+PE120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DAE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9F9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11.56</w:t>
            </w:r>
          </w:p>
        </w:tc>
      </w:tr>
      <w:tr w14:paraId="3D79529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55B3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8E35B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Z-YJV-4*25+PE16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2442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Z-YJV-4*25+PE16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384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68C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71.47</w:t>
            </w:r>
          </w:p>
        </w:tc>
      </w:tr>
      <w:tr w14:paraId="1BFBF15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224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6558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Z-YJV-4*35+PE16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845D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Z-YJV-4*35+PE16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77A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785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280.5</w:t>
            </w:r>
          </w:p>
        </w:tc>
      </w:tr>
      <w:tr w14:paraId="4B954E7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95C6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83D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Z-YJV-4*4+PE4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F6D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1.名称：电力电缆2.规格：电力电缆 Z-YJV-4*4+PE4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C85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133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371.99</w:t>
            </w:r>
          </w:p>
        </w:tc>
      </w:tr>
      <w:tr w14:paraId="2BC05B5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E64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90B2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Z-YJV-4*50+1*25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11050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Z-YJV-4*50+1*25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B6E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C97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40.81</w:t>
            </w:r>
          </w:p>
        </w:tc>
      </w:tr>
      <w:tr w14:paraId="02AF1A8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1AA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F77E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Z-YJV-4*50+PE25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97AC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Z-YJV-4*50+PE25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8E0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5D9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210.2</w:t>
            </w:r>
          </w:p>
        </w:tc>
      </w:tr>
      <w:tr w14:paraId="79F6406C">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8FA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C75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Z-YJV-4*6+PE6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F487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Z-YJV-4*6+PE6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30C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94E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157.27</w:t>
            </w:r>
          </w:p>
        </w:tc>
      </w:tr>
      <w:tr w14:paraId="11B3CD1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723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ABAD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Z-YJV-4*70+PE35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148F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Z-YJV-4*70+PE35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EA5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5AB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70.82</w:t>
            </w:r>
          </w:p>
        </w:tc>
      </w:tr>
      <w:tr w14:paraId="029EA02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EEC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706E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Z-YJV-4*95+PE50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4298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Z-YJV-4*95+PE50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0A89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C3F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242.75</w:t>
            </w:r>
          </w:p>
        </w:tc>
      </w:tr>
      <w:tr w14:paraId="5061DD0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E7D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1251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Z-YJV-5*10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8ADD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Z-YJV-5*10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2AA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835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146.7</w:t>
            </w:r>
          </w:p>
        </w:tc>
      </w:tr>
      <w:tr w14:paraId="3E3AEBA5">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994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0F3E1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Z-YJV-5*16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94A0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Z-YJV-5*16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053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E6B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138.57</w:t>
            </w:r>
          </w:p>
        </w:tc>
      </w:tr>
      <w:tr w14:paraId="12EF035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75B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1CFED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Z-YJV-5*6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3E259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Z-YJV-5*6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B75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DB7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65.37</w:t>
            </w:r>
          </w:p>
        </w:tc>
      </w:tr>
      <w:tr w14:paraId="169DBB8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8A2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9283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Z-KVV-5*1.5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C007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Z-KVV-5*1.5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698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E45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536.65</w:t>
            </w:r>
          </w:p>
        </w:tc>
      </w:tr>
      <w:tr w14:paraId="604AF79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26C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5784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ZN-KVV-2*1.5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593A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ZN-KVV-2*1.5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2AC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3B5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7.08</w:t>
            </w:r>
          </w:p>
        </w:tc>
      </w:tr>
      <w:tr w14:paraId="7737308E">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A5D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2827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 ZN-KVV-4*1.5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DF64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2.规格：电力电缆 ZN-KVV-4*1.5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3.敷设方式、部位：桥架、管道、水平、竖向管井敷设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914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104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11.74</w:t>
            </w:r>
          </w:p>
        </w:tc>
      </w:tr>
      <w:tr w14:paraId="3BC4FDF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0D5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8A09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62B3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3.规格：10</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16mm²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4.材质、类型：干包式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5.电压等级（kV）：1KV以下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7CB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E67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r>
      <w:tr w14:paraId="2D9C18A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CE3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2692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8FE6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030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D04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r>
      <w:tr w14:paraId="4599158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A19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A63F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42F2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3.规格：35</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50mm²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4.材质、类型：干包式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5.电压等级（kV）：1KV以下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EF0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2CB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w:t>
            </w:r>
          </w:p>
        </w:tc>
      </w:tr>
      <w:tr w14:paraId="6EA9F07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403C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6AD8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4F8B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3.规格：35</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50mm²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4.材质、类型：干包式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5.电压等级（kV）：1KV以下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6DD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9A7A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6E702AB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7E0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B340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55C0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3.规格：70mm²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4.材质、类型：干包式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5.电压等级（kV）：1KV以下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23D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6A0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3B37F21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7B29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F3E0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16ED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3.规格：90</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120mm²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4.材质、类型：干包式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5.电压等级（kV）：1KV以下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8D8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3979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1AC8E61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92C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D253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34C4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3.规格：90</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120mm²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4.材质、类型：干包式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5.电压等级（kV）：1KV以下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62F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EAC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r>
      <w:tr w14:paraId="4BF719B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E48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3CD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电力电缆头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A835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1.名称：电力电缆头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2.型号：多芯型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3.规格：185mm²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4.材质、类型：干包式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5.电压等级（kV）：1KV以下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AE0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17F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r>
      <w:tr w14:paraId="5C0AD86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A8D56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A9</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E1798CE">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配管配线</w:t>
            </w:r>
          </w:p>
        </w:tc>
      </w:tr>
      <w:tr w14:paraId="6C4ED60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6CD7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F2E8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BDA8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2.规格：紧定式镀锌管JDG20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A4EA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BD4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2240.76</w:t>
            </w:r>
          </w:p>
        </w:tc>
      </w:tr>
      <w:tr w14:paraId="270ADFD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2B6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75E2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EDD3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2.规格：镀锌钢管SC-20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E0C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0C2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1804.16</w:t>
            </w:r>
          </w:p>
        </w:tc>
      </w:tr>
      <w:tr w14:paraId="4625B47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9F9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24D97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0E31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29DF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72F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372.26</w:t>
            </w:r>
          </w:p>
        </w:tc>
      </w:tr>
      <w:tr w14:paraId="5B41975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1E2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6EF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1D61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220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F43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74.23</w:t>
            </w:r>
          </w:p>
        </w:tc>
      </w:tr>
      <w:tr w14:paraId="0AC16EB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DFC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3781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1095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AAB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321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r>
      <w:tr w14:paraId="034065A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566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B3A5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DF71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33F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7DE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66.54</w:t>
            </w:r>
          </w:p>
        </w:tc>
      </w:tr>
      <w:tr w14:paraId="049C2BC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E25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F6F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4CFA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7E0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E8D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121.06</w:t>
            </w:r>
          </w:p>
        </w:tc>
      </w:tr>
      <w:tr w14:paraId="612C650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E54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C7E5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48CE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6C7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062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6.65</w:t>
            </w:r>
          </w:p>
        </w:tc>
      </w:tr>
      <w:tr w14:paraId="54C6F24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142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B7F3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BV10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B46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1.规格：BV10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595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690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r>
      <w:tr w14:paraId="0D18D1D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332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8C6E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BV2.5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0306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1.规格：BV2.5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6DA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C7F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w:t>
            </w:r>
          </w:p>
        </w:tc>
      </w:tr>
      <w:tr w14:paraId="3292E59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189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63D1A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BV4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0A8A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1.规格：BV4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CA8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F76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540.53</w:t>
            </w:r>
          </w:p>
        </w:tc>
      </w:tr>
      <w:tr w14:paraId="4B35EB6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099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9105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BV6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521D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1.规格：BV6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850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797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62.89</w:t>
            </w:r>
          </w:p>
        </w:tc>
      </w:tr>
      <w:tr w14:paraId="457855F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EF43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64AC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WDZC-BYJ2.5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92CF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1.规格：WDZC-BYJ2.5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8CE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724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29211.28</w:t>
            </w:r>
          </w:p>
        </w:tc>
      </w:tr>
      <w:tr w14:paraId="52D0F7E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F655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0039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Z-BV2.5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13D6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1.规格：Z-BV2.5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6C4A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9A2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553.52</w:t>
            </w:r>
          </w:p>
        </w:tc>
      </w:tr>
      <w:tr w14:paraId="52B5496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00A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9D09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Z-BV4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1CB7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1.规格：Z-BV4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F67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2A6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444.58</w:t>
            </w:r>
          </w:p>
        </w:tc>
      </w:tr>
      <w:tr w14:paraId="4464697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8E74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4F7F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 NH-BV2.5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C97F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1.规格：NH-BV2.5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2.敷设方式：综合考虑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023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C27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685.6</w:t>
            </w:r>
          </w:p>
        </w:tc>
      </w:tr>
      <w:tr w14:paraId="493B7AB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00C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443B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接线盒</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3021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1.名称：开关、插座盒</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2.规格：86型金属底盒</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3.安装形式：暗装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B18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C75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566</w:t>
            </w:r>
          </w:p>
        </w:tc>
      </w:tr>
      <w:tr w14:paraId="6CB0492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AA00B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A10</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B1E8DCC">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调试及其它</w:t>
            </w:r>
          </w:p>
        </w:tc>
      </w:tr>
      <w:tr w14:paraId="01C0FF9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F63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CBC6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电气配管支架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456D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1.名称：电气配管支架制作安装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629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B776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840</w:t>
            </w:r>
          </w:p>
        </w:tc>
      </w:tr>
      <w:tr w14:paraId="4B32B707">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9D1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47C6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084F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1.名称：桥架支撑架制作安装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267A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043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322</w:t>
            </w:r>
          </w:p>
        </w:tc>
      </w:tr>
      <w:tr w14:paraId="4BD8E5F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B6F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5A83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墙面开槽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D8A6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1.名称：墙面凿槽</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2.类型：混凝土砌块墙</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3.规格：综合考虑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0D4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43A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105</w:t>
            </w:r>
          </w:p>
        </w:tc>
      </w:tr>
      <w:tr w14:paraId="7878031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182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975D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送配电装置系统</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0682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送配电装置系统调试1kV以下交流供电（综合）</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983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系统</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E8D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FA2AA2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25E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9973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自动投入装置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6AF1A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自动投入装置调试</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B9A1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系统</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F2A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F1AC9A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ED2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3110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抗震支架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2D81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2.管架形式：详见图纸给排水、消防抗震设计说明 ，需满足GB50981-2014《建筑机电工程抗震设计规范》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57A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987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r>
      <w:tr w14:paraId="7B21D31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346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7790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B64E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A5B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DAA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A99033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7EE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B314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20C4E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2.介质管道：D100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B51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317F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r>
      <w:tr w14:paraId="055C0A7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2EB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333B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3ACD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2.介质管道：DN150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8C2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317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22471E5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228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D2ED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接地装置调试</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F2E9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接地装置调试</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72D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系统</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7BC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B4EBA7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02BE6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A11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96561B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室外挖沟及埋地电缆管敷设</w:t>
            </w:r>
          </w:p>
        </w:tc>
      </w:tr>
      <w:tr w14:paraId="08C4341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3719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7F13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防火堵洞</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1C7E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电气竖向井道、穿各类墙体、配电间、配电柜（箱）等的孔隙应采用防火封堵材料封堵。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0E1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D4B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r>
      <w:tr w14:paraId="0C48A64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E19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E9C1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埋地电缆管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60BD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CPVC50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FB2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DED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r>
      <w:tr w14:paraId="2761E8A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0926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29941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埋地电缆管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4E24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CPVC100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1302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C25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w:t>
            </w:r>
          </w:p>
        </w:tc>
      </w:tr>
      <w:tr w14:paraId="0445E60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027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2B60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埋地电缆管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C3F6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CPVC150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22B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D31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940</w:t>
            </w:r>
          </w:p>
        </w:tc>
      </w:tr>
      <w:tr w14:paraId="52BBCE5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D9D2C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A12</w:t>
            </w:r>
          </w:p>
        </w:tc>
        <w:tc>
          <w:tcPr>
            <w:tcW w:w="1129"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9C7A11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防雷接地</w:t>
            </w:r>
          </w:p>
        </w:tc>
        <w:tc>
          <w:tcPr>
            <w:tcW w:w="2441"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4346924">
            <w:pPr>
              <w:spacing w:line="360" w:lineRule="auto"/>
              <w:rPr>
                <w:rFonts w:hint="eastAsia" w:ascii="宋体" w:hAnsi="宋体" w:eastAsia="宋体" w:cs="宋体"/>
                <w:color w:val="auto"/>
                <w:sz w:val="24"/>
                <w:szCs w:val="24"/>
                <w:highlight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0D90B45">
            <w:pPr>
              <w:spacing w:line="360" w:lineRule="auto"/>
              <w:ind w:firstLine="120" w:firstLineChars="50"/>
              <w:jc w:val="center"/>
              <w:rPr>
                <w:rFonts w:hint="eastAsia" w:ascii="宋体" w:hAnsi="宋体" w:eastAsia="宋体" w:cs="宋体"/>
                <w:color w:val="auto"/>
                <w:sz w:val="24"/>
                <w:szCs w:val="24"/>
                <w:highlight w:val="none"/>
              </w:rPr>
            </w:pPr>
          </w:p>
        </w:tc>
        <w:tc>
          <w:tcPr>
            <w:tcW w:w="544" w:type="pct"/>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4678DC02">
            <w:pPr>
              <w:spacing w:line="360" w:lineRule="auto"/>
              <w:ind w:firstLine="120" w:firstLineChars="50"/>
              <w:jc w:val="center"/>
              <w:rPr>
                <w:rFonts w:hint="eastAsia" w:ascii="宋体" w:hAnsi="宋体" w:eastAsia="宋体" w:cs="宋体"/>
                <w:color w:val="auto"/>
                <w:sz w:val="24"/>
                <w:szCs w:val="24"/>
                <w:highlight w:val="none"/>
              </w:rPr>
            </w:pPr>
          </w:p>
        </w:tc>
      </w:tr>
      <w:tr w14:paraId="55B32D6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345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5426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接地母线-40*4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FCEB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1.名称：桥架接地母线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2.规格：热镀锌接地扁钢-40x4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62E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3C7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509.09</w:t>
            </w:r>
          </w:p>
        </w:tc>
      </w:tr>
      <w:tr w14:paraId="1FF9C85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186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A59B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总等电位端子箱-160*75*45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BC3B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1.名称：总等电位端子箱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E63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A2E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r>
      <w:tr w14:paraId="5DE6F93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BA6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序号</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A0B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货物名称</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DE0E0">
            <w:pPr>
              <w:widowControl/>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技术规格参数与要求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734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单位</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71A9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数量</w:t>
            </w:r>
          </w:p>
        </w:tc>
      </w:tr>
      <w:tr w14:paraId="6924F06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47FFE9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19F7707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实验室环境和自控系统设备采购和安装项目</w:t>
            </w:r>
          </w:p>
        </w:tc>
      </w:tr>
      <w:tr w14:paraId="2AABBFC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BB33A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C48F0A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IT系统</w:t>
            </w:r>
          </w:p>
        </w:tc>
      </w:tr>
      <w:tr w14:paraId="78BC3AC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5C7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2E36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单口网络插座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F68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1.名称：单口网络插座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2.技术参数：8线插针：磷青铜，镀金（20~50uinch），插头插座可重复插拔不小于750次、符合千兆以太网应用系统、提供高达250MHz的可用带宽</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693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332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265</w:t>
            </w:r>
          </w:p>
        </w:tc>
      </w:tr>
      <w:tr w14:paraId="0F1D4CE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51B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666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单口电话插座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2938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1.名称：单口电话插座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2.技术参数：8线插针：磷青铜，镀金（20~50uinch），插头插座可重复插拔不小于750次、符合千兆以太网应用系统、提供高达250MHz的可用带宽</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79F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AE8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w:t>
            </w:r>
          </w:p>
        </w:tc>
      </w:tr>
      <w:tr w14:paraId="182041C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86C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A45B2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网络配线架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2E2D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1.名称：网络配线架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2.技术参数：性能超过TIA/EIA和ISO标准，24端口19英寸RJ45配线架，高度为1U，通过六类金字塔测试，增强型110IDC打线端口，兼容LSA+打线工具</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11F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7D1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r>
      <w:tr w14:paraId="1880437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CBF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BF0A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电话配线架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BBB0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1.名称：电话配线架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2.技术参数：100对100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69B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F5F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74C8090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A8D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EEFE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理线架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EC9F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1.名称：理线架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2.技术参数：24口、19英寸、1U</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2B5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6A3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r>
      <w:tr w14:paraId="201B680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DA4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BE45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光纤配线架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9081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1.名称：光纤配线架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2.技术参数：19英寸机架式、1U 高度的模块化光纤配线架 、支持熔接和磨接方式、最多支持48芯光纤端接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604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CAA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2DEC050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C9C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48EF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耦合器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39DE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1.名称：耦合器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2.技术参数：LC-LC</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F2F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1EC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240</w:t>
            </w:r>
          </w:p>
        </w:tc>
      </w:tr>
      <w:tr w14:paraId="13C0330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11B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893D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光纤尾纤</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5B6E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1.名称：光纤尾纤</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2.技术参数：LC-LC-SM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E93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9E3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240</w:t>
            </w:r>
          </w:p>
        </w:tc>
      </w:tr>
      <w:tr w14:paraId="48A6333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80E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7DAF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光纤熔接</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3913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1.名称：光纤熔接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2.技术参数：光纤熔接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DC8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7DE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240</w:t>
            </w:r>
          </w:p>
        </w:tc>
      </w:tr>
      <w:tr w14:paraId="79E4608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ECB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E361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数据跳线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3A1A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1.名称：数据跳线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2.技术参数：2m RJ45/六类</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894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7D6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521</w:t>
            </w:r>
          </w:p>
        </w:tc>
      </w:tr>
      <w:tr w14:paraId="6BE0B3C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9C6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0225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语音跳线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130F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1.名称：语音跳线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2.技术参数：2m RJ45-RJ11</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DFF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46E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168</w:t>
            </w:r>
          </w:p>
        </w:tc>
      </w:tr>
      <w:tr w14:paraId="17EC7E0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2CD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0959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光纤跳线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804F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1.名称：光纤跳线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2.技术参数：LC-LC-SM-3M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3EE4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6E6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w:t>
            </w:r>
          </w:p>
        </w:tc>
      </w:tr>
      <w:tr w14:paraId="0BD88C7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A7C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7908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程控交换机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7970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1.名称：程控交换机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2.技术参数：8外线96分机，中标单位需根据厂区现有设备品牌及型号做兼容性考虑。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B22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E7E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E6BFA6C">
        <w:tblPrEx>
          <w:tblCellMar>
            <w:top w:w="0" w:type="dxa"/>
            <w:left w:w="108" w:type="dxa"/>
            <w:bottom w:w="0" w:type="dxa"/>
            <w:right w:w="108" w:type="dxa"/>
          </w:tblCellMar>
        </w:tblPrEx>
        <w:trPr>
          <w:trHeight w:val="139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23A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AD76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企业路由器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B40E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1.名称：企业路由器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2.技术参数：ARM64 4 核处理器，4GB 内存，1GB Flash 存储，功耗典型 18W、最大 32W。‌‌‌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‌WAN口：2 个 GE 电口 + 2 个 GE 光口。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LAN 口：2 个 GE 光口 + 3 个 GE 电口（电口可切换为 WAN 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‌转发性能‌：包转发率 9Mpps-25Mpps，带机量 600-1200 台 PC</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F3FC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B48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1D6EA4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6FD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4AA8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无线控制器-含162授权</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494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1.名称：无线控制器-含162授权</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2.技术参数：最大可管理 256个 AP，基础版本支持 64 个 AP，可通过授权灵活扩展；2 个 10GE 万兆光口。10 个 GE 千兆电口。数据转发能力可达 10Gbps；含48路无线AP授权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744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103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4CB67F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520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C372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核心网络交换机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ED6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1.名称：核心网络交换机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2.技术参数：三层网管交换机，交换容量2.56Tbps，包转发率570Mpps，20个1G/10G SFP+光口，4个10G/25G SFP28光口，2个40G QSFP+光口，2个模块化电源插槽，2个模块化风扇插槽，出厂标配2个风扇模块</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72A3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D97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058C18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8B6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FF97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24口网络交换机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7ECE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1.名称：24口网络交换机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2.技术参数：二层网管交换机，交换容量672Gbps，包转发率126Mpps，24口10/100/1000Mbps自适应电口交换机，固化4个SFP千兆光口，支持VLAN、ACL、端口镜像、端口聚合等功能</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953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78C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6DA0FB9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7CAE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5A45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24口POE交换机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5AB6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1.名称：24口POE交换机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2.技术参数：二层网管交换机，交换容量672Gbps，包转发率126Mpps，24口10/100/1000Mbps自适应电口交换机（支持PoE/PoE+，PoE功率370W），固化4个SFP千兆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55C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02F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r>
      <w:tr w14:paraId="702BA0D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B19A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66F4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670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1.名称：光纤模块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2.技术参数：千兆单模，额外增加两个万兆模块</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569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98F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w:t>
            </w:r>
          </w:p>
        </w:tc>
      </w:tr>
      <w:tr w14:paraId="6740FC9E">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6DC1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4B3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吸顶AP</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2D52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1.名称：吸顶AP</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2.技术参数：Wi-Fi 6 标准的室内无线接入点（AP），整机速率可达 2.975Gbps；设备支持 2.4GHz 和 5GHz 双频同时工作，其中 2.4GHz 频段最大速率 575Mbps，5GHz 频段最大速率 2.4Gbps，整机速率可达 2.975Gbps，能够满足高带宽和高并发业务需求 。支持 FIT（瘦 AP）、FAT（胖 AP）及云管理三种工作模式，内置智能天线，便于根据网络架构灵活部署</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8D2D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951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162</w:t>
            </w:r>
          </w:p>
        </w:tc>
      </w:tr>
      <w:tr w14:paraId="1E82921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797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9432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弱电机柜</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38E3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1.名称：弱电机柜</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2.技术参数：600*600*2000mm、PDU插座、静载800KG、防护等级：IP20，SPCC优质冷扎钢板制作，方孔条镀蓝锌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27A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EE7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359C8CA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DFB7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6CAB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弱电主机柜</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F22D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1.名称：弱电主机柜</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2.技术参数：600*800*2055mm、PDU插座、静载800KG、防护等级：IP20，SPCC优质冷扎钢板制作，方孔条镀蓝锌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880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193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A3B6E6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586C4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B2</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66B41B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监控系统（存储30天）</w:t>
            </w:r>
          </w:p>
        </w:tc>
      </w:tr>
      <w:tr w14:paraId="662BF9E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8BD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97E05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安防操作电脑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5E5D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1.名称：安防操作电脑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 I7-12700/16G/512G固态/2G</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F2B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001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DE2264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6FF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D4CD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iSecure Center综合安防管理平台软件V1.0.0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5E24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1.名称：iSecure Center综合安防管理平台软件V1.0.0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2.支持最大安保区域数量：2万；最大区域层级：10级；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3.支持最大组织数量：5万；最大组织层级：10级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4.支持最大用户数量：20万；</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E12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2C3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26559F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ADF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1C02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iSecure Center-VMS监控模块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CF08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1.名称：iSecure Center-VMS监控模块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2.技术参数：最大并发取流数量：1000；支持电视墙管理数量：10；支持解码设备管理数量：492</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927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路</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212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218</w:t>
            </w:r>
          </w:p>
        </w:tc>
      </w:tr>
      <w:tr w14:paraId="5F77654E">
        <w:tblPrEx>
          <w:tblCellMar>
            <w:top w:w="0" w:type="dxa"/>
            <w:left w:w="108" w:type="dxa"/>
            <w:bottom w:w="0" w:type="dxa"/>
            <w:right w:w="108" w:type="dxa"/>
          </w:tblCellMar>
        </w:tblPrEx>
        <w:trPr>
          <w:trHeight w:val="31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F80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CD6F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监控服务器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3879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1.名称：监控服务器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2.技术参数：4210×1/128G DDR4/1.2T 10K  SAS×2（RAID_1）/SAS_HBA/1GbE×2/550W（1+1）/2U/16DIMM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2U双路标准机架式服务器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CPU：1颗intel至强系列处理器，核数≥10核，主频≥2.2GHz</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内存：≥32G*4 DDR4，16根内存插槽，最大支持扩展至2TB内存</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硬盘：2块1.2T 10K 2.5寸 SAS硬盘</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阵列卡：SAS_HBA卡，支持RAID 0/1/10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PCIE扩展：最大可支持6个PCIE扩展插槽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网口：2个千兆电口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其他接口：1个RJ45管理接口，后置2个USB 3.0接口，前置2个USB2.0接口，1个VGA接口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 xml:space="preserve">电源：标配550W（1+1）高效铂金CRPS冗余电源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DEA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8EC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1C061D4">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20F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C63F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网络半球摄像机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F4A9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1.名称：网络半球摄像机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2.技术参数规格详见本章“主要设备技术参数及要求”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176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91D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218</w:t>
            </w:r>
          </w:p>
        </w:tc>
      </w:tr>
      <w:tr w14:paraId="7F07FA56">
        <w:tblPrEx>
          <w:tblCellMar>
            <w:top w:w="0" w:type="dxa"/>
            <w:left w:w="108" w:type="dxa"/>
            <w:bottom w:w="0" w:type="dxa"/>
            <w:right w:w="108" w:type="dxa"/>
          </w:tblCellMar>
        </w:tblPrEx>
        <w:trPr>
          <w:trHeight w:val="69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E7A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A2B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泛智能硬盘主机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3570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1.名称：泛智能硬盘主机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2.技术参数：支持最高3200W像素高清网络视频的预览、存储、回放最大16路720p同步回放及多路同步倒放、硬盘接口：8个SATA接口，1 个 eSATA 接口；支持VGA\HDMI双显示输出；支持客流量统计功能，可统计通道指定区域和时间段的客流量；支持热度统计功能，可统计通道指定时间段不同区域的客流量大小；支持人车分类检索，并关联录像回放</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74E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EB5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r>
      <w:tr w14:paraId="0F92335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6E4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C199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监控硬盘</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6C70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1.名称：监控硬盘</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2.技术参数：3.5”英寸，6TB容量，SATA 6 Gb/s接口，缓存64MB，转速5400～7200智能调节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F91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95E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w:t>
            </w:r>
          </w:p>
        </w:tc>
      </w:tr>
      <w:tr w14:paraId="524CC21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229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4BC3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数字矩阵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6D3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1.名称：数字矩阵</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2.技术参数：标准机架式设计，单机16路HDMI输出，每路1/4/9/16画面显示，最高同时输出128路1080P/网络数字视频，分辨率可达1920×1080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4AA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F4D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F2B6F8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B63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CF0E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液晶</w:t>
            </w:r>
            <w:r>
              <w:rPr>
                <w:rFonts w:hint="eastAsia" w:ascii="宋体" w:hAnsi="宋体" w:eastAsia="宋体" w:cs="宋体"/>
                <w:color w:val="auto"/>
                <w:kern w:val="0"/>
                <w:sz w:val="24"/>
                <w:szCs w:val="24"/>
                <w:highlight w:val="none"/>
                <w:lang w:val="en-US" w:eastAsia="zh-CN" w:bidi="ar"/>
              </w:rPr>
              <w:t>LED</w:t>
            </w:r>
            <w:r>
              <w:rPr>
                <w:rFonts w:hint="eastAsia" w:ascii="宋体" w:hAnsi="宋体" w:eastAsia="宋体" w:cs="宋体"/>
                <w:color w:val="auto"/>
                <w:kern w:val="0"/>
                <w:sz w:val="24"/>
                <w:szCs w:val="24"/>
                <w:highlight w:val="none"/>
                <w:lang w:bidi="ar"/>
              </w:rPr>
              <w:t>屏</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5509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1.名称：液晶</w:t>
            </w:r>
            <w:r>
              <w:rPr>
                <w:rFonts w:hint="eastAsia" w:ascii="宋体" w:hAnsi="宋体" w:eastAsia="宋体" w:cs="宋体"/>
                <w:color w:val="auto"/>
                <w:kern w:val="0"/>
                <w:sz w:val="24"/>
                <w:szCs w:val="24"/>
                <w:highlight w:val="none"/>
                <w:lang w:val="en-US" w:eastAsia="zh-CN" w:bidi="ar"/>
              </w:rPr>
              <w:t>LED</w:t>
            </w:r>
            <w:r>
              <w:rPr>
                <w:rFonts w:hint="eastAsia" w:ascii="宋体" w:hAnsi="宋体" w:eastAsia="宋体" w:cs="宋体"/>
                <w:color w:val="auto"/>
                <w:kern w:val="0"/>
                <w:sz w:val="24"/>
                <w:szCs w:val="24"/>
                <w:highlight w:val="none"/>
                <w:lang w:bidi="ar"/>
              </w:rPr>
              <w:t>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w:t>
            </w:r>
            <w:r>
              <w:rPr>
                <w:rFonts w:hint="eastAsia" w:ascii="宋体" w:hAnsi="宋体" w:eastAsia="宋体" w:cs="宋体"/>
                <w:color w:val="auto"/>
                <w:sz w:val="24"/>
                <w:szCs w:val="24"/>
                <w:highlight w:val="none"/>
              </w:rPr>
              <w:t>显示屏净面积：4.16m*1.92m，产品点距：1.5mm，扫描方式：52扫；含HDMI信号输入拼接处理单元；含钢结构</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71D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863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0E79221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E18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E592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前维护支架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655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1.名称：前维护支架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2.技术参数：铝合金定制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950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621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02C57F0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CAB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F0712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视频线缆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8F67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1.名称：视频线缆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2.技术参数：20米HDMI高清跳线</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774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0FB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104BBD8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53C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EEFE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监控操作台</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393A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1.名称：监控操作台</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2.技术参数：五联</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CFC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0D0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A9A693E">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595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9EBF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安防核心交换机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6643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1.名称：安防核心交换机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2.技术参数：二层网管交换机，交换容量432Gbps，包转发率108Mpps，24个千兆光口，8个10/100/1000Mbps自适应复用电口，固化4个SFP+万兆光口，支持VLAN、ACL、端口镜像、端口聚合等功能</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535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F01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C9C36C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7DC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FA52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POE网络交换机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0979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1.名称：POE网络交换机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2.技术参数：二层网管交换机，交换容量672Gbps，包转发率126Mpps，24口10/100/1000Mbps自适应电口交换机（支持PoE/PoE+，PoE功率370W），固化4个SFP千兆光口，支持VLAN、ACL、端口镜像、端口聚合等功能</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137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8AC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042FDD2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F0B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FB0D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A735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1.名称：光纤模块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2.技术参数：千兆单模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142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7D4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r>
      <w:tr w14:paraId="1541310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878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70ECC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光纤跳线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D18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1.名称：光纤跳线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2.技术参数：LC-LC-SM-3M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E5E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523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r>
      <w:tr w14:paraId="0B1BD49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5E7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E263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理线架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F7E7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1.名称：理线架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2.技术参数：24口、19英寸、1U</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E15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604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r>
      <w:tr w14:paraId="411B2ED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91D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EED9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网络配线架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9107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1.名称：网络配线架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2.技术参数：性能超过TIA/EIA和ISO标准，24端口19英寸RJ45配线架，高度为1U，通过六类金字塔测试，增强型110IDC打线端口，兼容LSA+打线工具</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B7F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07D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31C8584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9674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5122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数据跳线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01BB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1.名称：数据跳线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2.技术参数：2m RJ45/六类</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A79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5AE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232</w:t>
            </w:r>
          </w:p>
        </w:tc>
      </w:tr>
      <w:tr w14:paraId="3C77D89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E55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D598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光纤配线架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0D7E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1.名称：光纤配线架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2.技术参数：19英寸机架式、1U 高度的模块化光纤配线架 、支持熔接和磨接方式、最多支持48芯光纤端接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B38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3B3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r>
      <w:tr w14:paraId="167945D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234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7A6D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耦合器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94AC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1.名称：耦合器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2.技术参数：LC-LC</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01C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08E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r>
      <w:tr w14:paraId="25D2411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678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5E8E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光纤尾纤</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6195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1.名称：光纤尾纤</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2.技术参数：LC-LC-SM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C9F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D6D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r>
      <w:tr w14:paraId="45190A4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609B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6DBD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光纤熔接</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289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1.名称：光纤熔接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2.技术参数：光纤熔接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826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791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r>
      <w:tr w14:paraId="6C3BC77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577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5300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弱电机柜</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8A2F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1.名称：弱电机柜</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2.技术参数：600*600*2000mm、PDU插座、静载800KG、防护等级：IP20，SPCC优质</w:t>
            </w:r>
            <w:r>
              <w:rPr>
                <w:rFonts w:hint="eastAsia" w:ascii="宋体" w:hAnsi="宋体" w:eastAsia="宋体" w:cs="宋体"/>
                <w:color w:val="auto"/>
                <w:kern w:val="0"/>
                <w:sz w:val="24"/>
                <w:szCs w:val="24"/>
                <w:highlight w:val="none"/>
                <w:lang w:eastAsia="zh-CN" w:bidi="ar"/>
              </w:rPr>
              <w:t>冷轧</w:t>
            </w:r>
            <w:r>
              <w:rPr>
                <w:rFonts w:hint="eastAsia" w:ascii="宋体" w:hAnsi="宋体" w:eastAsia="宋体" w:cs="宋体"/>
                <w:color w:val="auto"/>
                <w:kern w:val="0"/>
                <w:sz w:val="24"/>
                <w:szCs w:val="24"/>
                <w:highlight w:val="none"/>
                <w:lang w:bidi="ar"/>
              </w:rPr>
              <w:t>钢板制作，方孔条镀蓝锌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9A6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A0B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06FF6A5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FAE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848D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弱电主机柜</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EFB3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1.名称：弱电主机柜</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2.技术参数：600*800*2055mm、PDU插座、静载800KG、防护等级：IP20，SPCC优质</w:t>
            </w:r>
            <w:r>
              <w:rPr>
                <w:rFonts w:hint="eastAsia" w:ascii="宋体" w:hAnsi="宋体" w:eastAsia="宋体" w:cs="宋体"/>
                <w:color w:val="auto"/>
                <w:kern w:val="0"/>
                <w:sz w:val="24"/>
                <w:szCs w:val="24"/>
                <w:highlight w:val="none"/>
                <w:lang w:eastAsia="zh-CN" w:bidi="ar"/>
              </w:rPr>
              <w:t>冷轧</w:t>
            </w:r>
            <w:r>
              <w:rPr>
                <w:rFonts w:hint="eastAsia" w:ascii="宋体" w:hAnsi="宋体" w:eastAsia="宋体" w:cs="宋体"/>
                <w:color w:val="auto"/>
                <w:kern w:val="0"/>
                <w:sz w:val="24"/>
                <w:szCs w:val="24"/>
                <w:highlight w:val="none"/>
                <w:lang w:bidi="ar"/>
              </w:rPr>
              <w:t>钢板制作，方孔条镀蓝锌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0A03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C52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754A57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D9289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B3</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A3323A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门禁系统</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安防合用核心/接入</w:t>
            </w:r>
          </w:p>
        </w:tc>
      </w:tr>
      <w:tr w14:paraId="7BA4833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AB8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A9CD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门禁电脑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6B87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1.名称：门禁电脑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 I7-12700/16G/512G固态/2G</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449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4BA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E69C9C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65E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29D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24口网络交换机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090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1.名称：24口网络交换机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2.技术参数：二层网管交换机，交换容量672Gbps，包转发率126Mpps，24口10/100/1000Mbps自适应电口交换机，固化4个SFP千兆光口，支持VLAN、ACL、端口镜像、端口聚合等功能</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4B0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16C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2E54D35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CCD7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B2AE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070A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1.名称：光纤模块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2.技术参数：千兆单模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35F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113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r>
      <w:tr w14:paraId="55264EB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E4A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68B5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光纤跳线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71A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1.名称：光纤跳线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2.技术参数：LC-LC-SM-3M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003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0BF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r>
      <w:tr w14:paraId="4D29A52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88F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74D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网络配线架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F8D2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1.名称：网络配线架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2.技术参数：性能超过TIA/EIA和ISO标准，24端口19英寸RJ45配线架，高度为1U，通过六类金字塔测试，增强型110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828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FA2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755BB59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A96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BF1D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数据跳线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7C79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1.名称：数据跳线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2.技术参数：2m RJ45/六类</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547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B38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154</w:t>
            </w:r>
          </w:p>
        </w:tc>
      </w:tr>
      <w:tr w14:paraId="7BCDC60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905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3344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理线架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EFC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1.名称：理线架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2.技术参数：24口、19英寸、1U</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9DB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5E9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r>
      <w:tr w14:paraId="7DA7BE2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0D5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0534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iSecure Center-VMS监控模块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6868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1.名称：iSecure Center-VMS监控模块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2.技术参数：最大并发取流数量：1000；支持电视墙管理数量：10；支持解码设备管理数量：492</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AAB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路</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4A3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w:t>
            </w:r>
          </w:p>
        </w:tc>
      </w:tr>
      <w:tr w14:paraId="0D0A939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B73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0B85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发卡器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D3CD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1.名称：发卡器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2.技术参数：Mifare 1 人脸卡发卡器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D9E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E56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00321DF">
        <w:tblPrEx>
          <w:tblCellMar>
            <w:top w:w="0" w:type="dxa"/>
            <w:left w:w="108" w:type="dxa"/>
            <w:bottom w:w="0" w:type="dxa"/>
            <w:right w:w="108" w:type="dxa"/>
          </w:tblCellMar>
        </w:tblPrEx>
        <w:trPr>
          <w:trHeight w:val="33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893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DA55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7寸人脸识别一体机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BEF4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1.名称：7寸人脸识别一体机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2.技术参数：显示屏：≥7英寸ISP全视角高清屏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存储容量：内存≥256M DDR3、存储≥8GB EMMC                                                                                                                          工作电压：DC12V （9</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14V）</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工作电流：&lt;2000mA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工作环境：温度：-25</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65C</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湿度： </w:t>
            </w:r>
            <w:r>
              <w:rPr>
                <w:rFonts w:hint="eastAsia" w:ascii="宋体" w:hAnsi="宋体" w:eastAsia="宋体" w:cs="宋体"/>
                <w:color w:val="auto"/>
                <w:kern w:val="0"/>
                <w:sz w:val="24"/>
                <w:szCs w:val="24"/>
                <w:highlight w:val="none"/>
                <w:lang w:eastAsia="zh-CN" w:bidi="ar"/>
              </w:rPr>
              <w:t>10%～90%</w:t>
            </w:r>
            <w:r>
              <w:rPr>
                <w:rFonts w:hint="eastAsia" w:ascii="宋体" w:hAnsi="宋体" w:eastAsia="宋体" w:cs="宋体"/>
                <w:color w:val="auto"/>
                <w:kern w:val="0"/>
                <w:sz w:val="24"/>
                <w:szCs w:val="24"/>
                <w:highlight w:val="none"/>
                <w:lang w:bidi="ar"/>
              </w:rPr>
              <w:t>，无冷凝</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运行系统：LINUX系统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用户容量：2万人、2万人脸、2万二维码、2万卡、2万密码；1万指纹、1万掌静脉</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记录容量：100万记录、1万记录照片、1万系统记录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识别距离：0.3米</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3米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识别速度：&lt;0.3S</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材质：ABS塑料机身+ 钢化玻璃面板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电梯扩展：支持电梯/柜锁控制板扩展接口</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D79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7C2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r>
      <w:tr w14:paraId="0F790B1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491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A553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门禁读卡器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98AA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1.名称：门禁读卡器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2.技术参数：3 LED状态指示、内置反破坏开关，防止被拆卸破坏、具备RS485及Wiegand 双通讯</w:t>
            </w:r>
            <w:r>
              <w:rPr>
                <w:rFonts w:hint="eastAsia" w:ascii="宋体" w:hAnsi="宋体" w:eastAsia="宋体" w:cs="宋体"/>
                <w:color w:val="auto"/>
                <w:kern w:val="0"/>
                <w:sz w:val="24"/>
                <w:szCs w:val="24"/>
                <w:highlight w:val="none"/>
                <w:lang w:eastAsia="zh-CN" w:bidi="ar"/>
              </w:rPr>
              <w:t>界面</w:t>
            </w:r>
            <w:r>
              <w:rPr>
                <w:rFonts w:hint="eastAsia" w:ascii="宋体" w:hAnsi="宋体" w:eastAsia="宋体" w:cs="宋体"/>
                <w:color w:val="auto"/>
                <w:kern w:val="0"/>
                <w:sz w:val="24"/>
                <w:szCs w:val="24"/>
                <w:highlight w:val="none"/>
                <w:lang w:bidi="ar"/>
              </w:rPr>
              <w:t>、开机时，自动侦测及启用已设定之参数内置蜂鸣器提示、刷卡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AC3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A0A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111</w:t>
            </w:r>
          </w:p>
        </w:tc>
      </w:tr>
      <w:tr w14:paraId="5C9A9339">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009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F66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单门控制器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489D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1.名称：单门控制器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标准RJ45网络接口，100MTCP/IP通讯，支持外围IP云访问，支持4万张卡片使用，20万笔进出记录，可搭配LCD显示读卡器可显示中/英文名称，4组韦根（Wiegand）输入接口，可通过软件设定、提供多重开门方式选择，提供多重时段及卡片权限设定、具区域反潜回、反胁迫、开门逾时、强行进入等功能，与读卡器线路异常检测与提示，输入电源温度监测，时钟自我修正，可使用楼层控管方式、提供工具软件远端设定相关参数及联机更新韧体程序</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7B6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A9A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w:t>
            </w:r>
          </w:p>
        </w:tc>
      </w:tr>
      <w:tr w14:paraId="7A0B527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4F2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B33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双门控制器（带互锁功能）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EF03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1.名称：双门控制器（带互锁功能）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2.技术参数：标准RJ45网络接口，100MTCP/IP通讯，支持外围IP云访问，支持4万张卡片使用，20万笔进出记录，可搭</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A72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1FE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w:t>
            </w:r>
          </w:p>
        </w:tc>
      </w:tr>
      <w:tr w14:paraId="265D7DA0">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C0EE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3FE4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四门控制器（带互锁功能）</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CCB0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1.名称：四门控制器（带互锁功能）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标准RJ45网络接口，100MTCP/IP通讯，支持外围IP云访问，支持4万张卡片使用，20万笔进出记录，可搭配LCD显示读卡器可显示中/英文名称，4组韦根（Wiegand）输入接口，可通过软件设定、提供多重开门方式选择，提供多重时段及卡片权限设定、具区域反潜回、反胁迫、开门逾时、强行进入等功能，与读卡器线路异常检测与提示，输入电源温度监测，时钟自我修正，可使用楼层控管方式、提供工具软件远端设定相关参数及联机更新韧体程序</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F4A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51F8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3497F8E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A7D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DAE8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单门磁力锁</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2588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1.名称：单门磁力锁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2.技术参数：超低温型电锁、状态信号输入输出 磁感应上锁，延时启动时间可调节、</w:t>
            </w:r>
            <w:r>
              <w:rPr>
                <w:rFonts w:hint="eastAsia" w:ascii="宋体" w:hAnsi="宋体" w:eastAsia="宋体" w:cs="宋体"/>
                <w:color w:val="auto"/>
                <w:kern w:val="0"/>
                <w:sz w:val="24"/>
                <w:szCs w:val="24"/>
                <w:highlight w:val="none"/>
                <w:lang w:eastAsia="zh-CN" w:bidi="ar"/>
              </w:rPr>
              <w:t>具</w:t>
            </w:r>
            <w:r>
              <w:rPr>
                <w:rFonts w:hint="eastAsia" w:ascii="宋体" w:hAnsi="宋体" w:eastAsia="宋体" w:cs="宋体"/>
                <w:color w:val="auto"/>
                <w:kern w:val="0"/>
                <w:sz w:val="24"/>
                <w:szCs w:val="24"/>
                <w:highlight w:val="none"/>
                <w:lang w:val="en-US" w:eastAsia="zh-CN" w:bidi="ar"/>
              </w:rPr>
              <w:t>备</w:t>
            </w:r>
            <w:r>
              <w:rPr>
                <w:rFonts w:hint="eastAsia" w:ascii="宋体" w:hAnsi="宋体" w:eastAsia="宋体" w:cs="宋体"/>
                <w:color w:val="auto"/>
                <w:kern w:val="0"/>
                <w:sz w:val="24"/>
                <w:szCs w:val="24"/>
                <w:highlight w:val="none"/>
                <w:lang w:bidi="ar"/>
              </w:rPr>
              <w:t xml:space="preserve">双电流过载保护装置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47C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F70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369</w:t>
            </w:r>
          </w:p>
        </w:tc>
      </w:tr>
      <w:tr w14:paraId="0807FBB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EC4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3B1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磁力锁支架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FB5B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1.名称：磁力锁支架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2.技术参数：LZ+弧形3件套</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582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22E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369</w:t>
            </w:r>
          </w:p>
        </w:tc>
      </w:tr>
      <w:tr w14:paraId="5A5F3BF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146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375A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出门按钮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DEC6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1.名称：出门按钮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2.技术参数：86型、触点能力： 250V 6A</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10C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0A2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307</w:t>
            </w:r>
          </w:p>
        </w:tc>
      </w:tr>
      <w:tr w14:paraId="4A3492E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8D9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2A38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非接触感应按钮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8CB9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1.名称：非接触感应按钮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2.技术参数：红外 非接触</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3F6F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0CC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7CE798E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98D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9C24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门禁卡片</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C397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1.名称：门禁卡片</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2.技术参数：Miarfe Classic</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33D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E95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w:t>
            </w:r>
          </w:p>
        </w:tc>
      </w:tr>
      <w:tr w14:paraId="2699B2A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6C22A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B4</w:t>
            </w:r>
          </w:p>
        </w:tc>
        <w:tc>
          <w:tcPr>
            <w:tcW w:w="1129"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3744B4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桥架、配管、配线</w:t>
            </w:r>
          </w:p>
        </w:tc>
        <w:tc>
          <w:tcPr>
            <w:tcW w:w="2441"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B221222">
            <w:pPr>
              <w:spacing w:line="360" w:lineRule="auto"/>
              <w:rPr>
                <w:rFonts w:hint="eastAsia" w:ascii="宋体" w:hAnsi="宋体" w:eastAsia="宋体" w:cs="宋体"/>
                <w:color w:val="auto"/>
                <w:sz w:val="24"/>
                <w:szCs w:val="24"/>
                <w:highlight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1E7B5E4">
            <w:pPr>
              <w:spacing w:line="360" w:lineRule="auto"/>
              <w:ind w:firstLine="120" w:firstLineChars="50"/>
              <w:jc w:val="center"/>
              <w:rPr>
                <w:rFonts w:hint="eastAsia" w:ascii="宋体" w:hAnsi="宋体" w:eastAsia="宋体" w:cs="宋体"/>
                <w:color w:val="auto"/>
                <w:sz w:val="24"/>
                <w:szCs w:val="24"/>
                <w:highlight w:val="none"/>
              </w:rPr>
            </w:pPr>
          </w:p>
        </w:tc>
        <w:tc>
          <w:tcPr>
            <w:tcW w:w="544" w:type="pct"/>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133174D3">
            <w:pPr>
              <w:spacing w:line="360" w:lineRule="auto"/>
              <w:ind w:firstLine="120" w:firstLineChars="50"/>
              <w:jc w:val="center"/>
              <w:rPr>
                <w:rFonts w:hint="eastAsia" w:ascii="宋体" w:hAnsi="宋体" w:eastAsia="宋体" w:cs="宋体"/>
                <w:color w:val="auto"/>
                <w:sz w:val="24"/>
                <w:szCs w:val="24"/>
                <w:highlight w:val="none"/>
              </w:rPr>
            </w:pPr>
          </w:p>
        </w:tc>
      </w:tr>
      <w:tr w14:paraId="78E2FD25">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4D7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1CDB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2D38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1.名称：热镀锌弱电桥架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2.规格：300*100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3.材质：热镀锌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：详见设计图纸及招标文件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6C13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113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878.37</w:t>
            </w:r>
          </w:p>
        </w:tc>
      </w:tr>
      <w:tr w14:paraId="3756FBA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3F2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FA5B5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大对数电缆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BFB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1.名称：大对数电缆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2.规格：25对大对数电缆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A05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6E7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273.6</w:t>
            </w:r>
          </w:p>
        </w:tc>
      </w:tr>
      <w:tr w14:paraId="599CC94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A0B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42E5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大对数电缆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F3F9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1.名称：大对数电缆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2.规格：500对大对数电缆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F36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02B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527.2</w:t>
            </w:r>
          </w:p>
        </w:tc>
      </w:tr>
      <w:tr w14:paraId="3D67F07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DA9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F886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0C72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2.规格：6芯单模光纤</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7F6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088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345.8</w:t>
            </w:r>
          </w:p>
        </w:tc>
      </w:tr>
      <w:tr w14:paraId="3F13EF3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4C1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E7C26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光缆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3571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1.名称：光缆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2.规格：24芯单模光纤</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FE3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FCC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172.56</w:t>
            </w:r>
          </w:p>
        </w:tc>
      </w:tr>
      <w:tr w14:paraId="2D1C3C7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BBD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9144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D1F2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2.规格：WDZ-BYJ2.5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C47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E6D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5360</w:t>
            </w:r>
          </w:p>
        </w:tc>
      </w:tr>
      <w:tr w14:paraId="05BF18E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4DC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819F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646A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2.规格：WDZR-RYJY-2x1.0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74E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E5E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6167.84</w:t>
            </w:r>
          </w:p>
        </w:tc>
      </w:tr>
      <w:tr w14:paraId="0354C81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041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EA53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39BAE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2.规格：WDZR-RYJYP-6x1.0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4E1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745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9250</w:t>
            </w:r>
          </w:p>
        </w:tc>
      </w:tr>
      <w:tr w14:paraId="2FC7928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B58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F45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CC8F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2.规格：RVV2*1.0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94B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97B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5720.5</w:t>
            </w:r>
          </w:p>
        </w:tc>
      </w:tr>
      <w:tr w14:paraId="59BD8EA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7913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F217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975C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2.规格：RVVP4*0.75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377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152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2580</w:t>
            </w:r>
          </w:p>
        </w:tc>
      </w:tr>
      <w:tr w14:paraId="22D0E2A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6A9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BBAD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C89B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2.规格：RVVP3*1.0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BC9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EA6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r>
      <w:tr w14:paraId="26ED424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D46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20B4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3A6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2.规格：RVVP4*1.0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152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8BA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6847.28</w:t>
            </w:r>
          </w:p>
        </w:tc>
      </w:tr>
      <w:tr w14:paraId="15C9011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3324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C569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双绞线缆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A2E6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1.名称：六类非屏蔽双绞线缆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2.规格：UTP-CAT.6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7E00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D6D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33570.2</w:t>
            </w:r>
          </w:p>
        </w:tc>
      </w:tr>
      <w:tr w14:paraId="3643AAD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6FB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05DB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CAC5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1.名称：电气配管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2.规格：镀锌钢管SC20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5D8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07A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2162</w:t>
            </w:r>
          </w:p>
        </w:tc>
      </w:tr>
      <w:tr w14:paraId="0454D37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0E8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CD31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9AD0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2.规格：紧定式镀锌管JDG20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AEB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4F9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2563.2</w:t>
            </w:r>
          </w:p>
        </w:tc>
      </w:tr>
      <w:tr w14:paraId="1E0D046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1D2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5283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9622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1.名称：电气配管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2.规格：紧定式镀锌管JDG25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9E3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011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726.8</w:t>
            </w:r>
          </w:p>
        </w:tc>
      </w:tr>
      <w:tr w14:paraId="029E45A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58A3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E814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6F50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2.规格：金属软管DN20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3.配置形式：明敷</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FF26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789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696.8</w:t>
            </w:r>
          </w:p>
        </w:tc>
      </w:tr>
      <w:tr w14:paraId="5796BD7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CCB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AD64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标识牌</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2CB7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1.名称：标识牌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77C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41E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r>
      <w:tr w14:paraId="30807F8B">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C82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FAA1D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铁构件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743B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1.名称：支吊架制作、安装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8C4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C1A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3588</w:t>
            </w:r>
          </w:p>
        </w:tc>
      </w:tr>
      <w:tr w14:paraId="1B79CA5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46F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DE10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金属结构刷油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7AA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1.名称：支吊架、除锈、刷油，具体详见设计及说明</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B64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6FB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3588</w:t>
            </w:r>
          </w:p>
        </w:tc>
      </w:tr>
      <w:tr w14:paraId="3F43FDF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DBC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7F79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金属软管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7D2E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1.名称：金属软管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3.配置形式：明敷设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4.接地要求：满足设计及相关规范要求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641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E7D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620</w:t>
            </w:r>
          </w:p>
        </w:tc>
      </w:tr>
      <w:tr w14:paraId="0B313F8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588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8AEEA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接线盒</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6CB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1.名称：接线盒</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2.规格：86型</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3.材质：钢质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4.安装形式：暗装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5.其它：满足设计及相关规范要求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389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DE6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1520</w:t>
            </w:r>
          </w:p>
        </w:tc>
      </w:tr>
      <w:tr w14:paraId="67BE3A7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76339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B5</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374C59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控制器</w:t>
            </w:r>
          </w:p>
        </w:tc>
      </w:tr>
      <w:tr w14:paraId="4935AD7E">
        <w:tblPrEx>
          <w:tblCellMar>
            <w:top w:w="0" w:type="dxa"/>
            <w:left w:w="108" w:type="dxa"/>
            <w:bottom w:w="0" w:type="dxa"/>
            <w:right w:w="108" w:type="dxa"/>
          </w:tblCellMar>
        </w:tblPrEx>
        <w:trPr>
          <w:trHeight w:val="57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066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32D4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CPU</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9281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规格：1510，高性能中央处理器，其位运算速度典型值仅 6 ns，字运算 7 ns，定点运算 42 ns，浮点运算 170 ns，集成工作存储器（程序 200 KB，数据 1 MB），并支持最大 32 GB 的 SIMATIC 存储卡扩展。通信方面配备 PROFINET IRT 接口，集成 3 端口交换机（其中 1 个为 RJ45，另外 2 个需通过总线适配器连接），最多可连接 128 个 IO 设备，并支持时钟同步和热插拔功能。供电额定 DC 24 V（允许范围 19.2 V ～ 28.8 V），典型功耗约 6.5 W，具备反极性保护和断电跨接（≥10 ms）。工作环境温度 -30 ℃ ～ 50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864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98D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r>
      <w:tr w14:paraId="59042D4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396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F18E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存储卡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6E18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规格型号：4M，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Flash-EPROM 型存储卡。它提供 4 MByte 的存储容量，支持最少 500,000 次写入/删除操作，数据可至少保持 10 年</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9C1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6BA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r>
      <w:tr w14:paraId="2C01AAC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DD6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234E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接口模块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F91C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规格型号：IM155-6 PN，用于 PROFINET 网络的分布式 I/O 从站设备，包含 多个性能等级。所有型号均采用 DC 24V 供电（允许范围 19.2V 至 28.8V），支持反极性保护和热插拔。最多可带 32 个 I/O 模块，集成 2 个 RJ45 接口，典型功耗 1.9W。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F7D7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5B3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7183B22C">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0CE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286A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数字量扩展模块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F4E6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规格型号：16DI，16 通道数字量输入模块（DI 16x24V DC ST）。它采用 24V DC 供电（允许范围 19.2V 至 28.8V），支持反极性保护，每个输入通道仅消耗 2.5mA 电流。该模块符合 IEC 61131 标准，为 Type 3 漏型输入（PNP，P 读数），其输入延迟可在 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A14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1C4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r>
      <w:tr w14:paraId="4D41731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E33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C2A0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数字量扩展模块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1BC0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规格型号：16DO，I6 通道数字量输出模块（DQ 16x 24V DC/0.5A ST）。它采用 PNP 源极输出（P 开关），每通道输出电流 0.5A，支持 24V DC 供电（允许范围 19.2V 至 28.8V），具备反极性保护功能。该模块提供全面的诊断功能，包括短路诊断（响应阈值典型值 1A）、断线诊断和电源电压诊断，并支持替代值输出，便于故障处理。其宽度仅为 15mm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0A8F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C90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r>
      <w:tr w14:paraId="33E0CBE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8F0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CC1B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模拟量扩展模块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5997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8AI，8 通道模拟量输入模块（视情况选用电流或电压型）。电流型支持 2 线制或 4 线制 电流信号，输入电流范围为 0/4 至 20 mA 或 -20 至 +20 mA，精度为 16 位，每通道转换时间最快可达 1 ms。模块采用 DC 24V 供电（允许范围 19.2V 至 28.8V），典型功耗仅 0.7 W，并集成了模块诊断功能，支持 I&amp;M 数据（I&amp;M0 至 I&amp;M3）。其宽度仅 15 mm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3DE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85A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w:t>
            </w:r>
          </w:p>
        </w:tc>
      </w:tr>
      <w:tr w14:paraId="6EBA350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0AF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EEF4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模拟量扩展模块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8CB6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4AO，4 通道模拟量输出模块（AQ 4xU/I ST）。它支持电压输出（0~10V、1</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5V、±5V、±10V）和电流输出（0~20mA、±20mA、4</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20mA），电压输出精度为 16 位，电流输出精度为 15 位（含符号位）。该模块采用 24V DC 供电（允许范围 19.2V 至 28.8V），具有反极性保护功能，最大耗用电流 150 mA，典型功率损耗 1.5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5C3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3C1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w:t>
            </w:r>
          </w:p>
        </w:tc>
      </w:tr>
      <w:tr w14:paraId="30C129AA">
        <w:tblPrEx>
          <w:tblCellMar>
            <w:top w:w="0" w:type="dxa"/>
            <w:left w:w="108" w:type="dxa"/>
            <w:bottom w:w="0" w:type="dxa"/>
            <w:right w:w="108" w:type="dxa"/>
          </w:tblCellMar>
        </w:tblPrEx>
        <w:trPr>
          <w:trHeight w:val="18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066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8BD5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基座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C248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标准的 15mm 宽信号模块（如数字量、模拟量模块）提供安装底座和电气连接。该模块采用创新的直插式（Push-in）接线技术，支持 0.14 mm² 至 2.5 mm²（AWG 26 至 14）的导线，可实现免工具快速接线。其额定供电电压为 DC 24V，P1/P2 背板总线最大载流能力为 10A，过程端子最大载流能力为 2A。该模块具备向左侧桥接电位功能，可将电源电位从左邻模块传导过来，并支持自动编码，便于系统集成。其尺寸为 15mm（宽）× 117mm（高）× 35mm（深），重量约 40g，工作环境温度根据安装方式不同，水平安装时为 -30℃ 至 60℃，垂直安装时为 -30℃ 至 50℃。模块防护等级为 IP20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3B1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B22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240</w:t>
            </w:r>
          </w:p>
        </w:tc>
      </w:tr>
      <w:tr w14:paraId="3B26622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81F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ABBD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自控柜</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1B3B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250，柜体主要采用冷轧钢板制作，标准配置下箱体板材厚度1.5mm，门板2.0mm，安装板2.5mm。表面经酸洗磷化、静电喷塑处理，标准颜色通常为RAL7032或RAL7035。防护等级最高可达IP56，具备良好的防尘防水能力。控制柜为标准配置，包含门板、背板、顶板、底板、安装板、密封条、门锁及接地线等。前门可根据需要设计为单开或双开，侧板通常可拆卸，方便内部设备的安装与维护</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414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669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4CF0316">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779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A646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自控柜</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C104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2000*800*600，柜体主要采用冷轧钢板制作</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401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6C7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12E5584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7DC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6524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83AC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8口百兆非网管型工业交换机。具备-40℃至75℃的宽温工作能力和9.6V~60VDC的宽电压输入，支持DIN导轨安装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086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7BE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6EDA14F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0AA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1FD0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触摸屏</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ABBC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10寸工业电阻屏，DC24V供电，支持RJ45</w:t>
            </w:r>
            <w:r>
              <w:rPr>
                <w:rFonts w:hint="eastAsia" w:ascii="宋体" w:hAnsi="宋体" w:eastAsia="宋体" w:cs="宋体"/>
                <w:color w:val="auto"/>
                <w:kern w:val="0"/>
                <w:sz w:val="24"/>
                <w:szCs w:val="24"/>
                <w:highlight w:val="none"/>
                <w:lang w:eastAsia="zh-CN" w:bidi="ar"/>
              </w:rPr>
              <w:t>网络</w:t>
            </w:r>
            <w:r>
              <w:rPr>
                <w:rFonts w:hint="eastAsia" w:ascii="宋体" w:hAnsi="宋体" w:eastAsia="宋体" w:cs="宋体"/>
                <w:color w:val="auto"/>
                <w:kern w:val="0"/>
                <w:sz w:val="24"/>
                <w:szCs w:val="24"/>
                <w:highlight w:val="none"/>
                <w:lang w:bidi="ar"/>
              </w:rPr>
              <w:t>通讯、RS485通讯、支持RS232通讯，符合CE/FCC认证标准，防护等级IP65。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EA0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B07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r>
      <w:tr w14:paraId="16D6B38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B4D4D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B6</w:t>
            </w:r>
          </w:p>
        </w:tc>
        <w:tc>
          <w:tcPr>
            <w:tcW w:w="1129"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7C00A1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现场仪表</w:t>
            </w:r>
          </w:p>
        </w:tc>
        <w:tc>
          <w:tcPr>
            <w:tcW w:w="2441"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7C60092">
            <w:pPr>
              <w:spacing w:line="360" w:lineRule="auto"/>
              <w:rPr>
                <w:rFonts w:hint="eastAsia" w:ascii="宋体" w:hAnsi="宋体" w:eastAsia="宋体" w:cs="宋体"/>
                <w:color w:val="auto"/>
                <w:sz w:val="24"/>
                <w:szCs w:val="24"/>
                <w:highlight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B9A5574">
            <w:pPr>
              <w:spacing w:line="360" w:lineRule="auto"/>
              <w:ind w:firstLine="120" w:firstLineChars="50"/>
              <w:jc w:val="center"/>
              <w:rPr>
                <w:rFonts w:hint="eastAsia" w:ascii="宋体" w:hAnsi="宋体" w:eastAsia="宋体" w:cs="宋体"/>
                <w:color w:val="auto"/>
                <w:sz w:val="24"/>
                <w:szCs w:val="24"/>
                <w:highlight w:val="none"/>
              </w:rPr>
            </w:pPr>
          </w:p>
        </w:tc>
        <w:tc>
          <w:tcPr>
            <w:tcW w:w="544" w:type="pct"/>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0453292A">
            <w:pPr>
              <w:spacing w:line="360" w:lineRule="auto"/>
              <w:ind w:firstLine="120" w:firstLineChars="50"/>
              <w:jc w:val="center"/>
              <w:rPr>
                <w:rFonts w:hint="eastAsia" w:ascii="宋体" w:hAnsi="宋体" w:eastAsia="宋体" w:cs="宋体"/>
                <w:color w:val="auto"/>
                <w:sz w:val="24"/>
                <w:szCs w:val="24"/>
                <w:highlight w:val="none"/>
              </w:rPr>
            </w:pPr>
          </w:p>
        </w:tc>
      </w:tr>
      <w:tr w14:paraId="559C86A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B32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A3FD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压差开关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01C3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QBM81，压力测量范围为 50 至 500 Pa （0.5 至 5 mbar），适用于空气和非腐蚀性气体。该设备采用单极无源触点转换触点输出，输入电压范围为 24 至 250 VAC，并具有IP54防护等级。</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459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07E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w:t>
            </w:r>
          </w:p>
        </w:tc>
      </w:tr>
      <w:tr w14:paraId="561D049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20F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9B42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风管温度传感器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0968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EE431，提供两种安装方式：管道安装可使用自带法兰或壳体安装孔固定在风道上；插入式安装则通过安装套管固定在液体管道上以测量液体温度。其输出方式灵活，可选0-10V或4</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20mA的模拟信号、RS485接口的Modbus RTU数字信号，或Pt100/Pt1000/NTC等多种无源电阻信号。测量范围方面，管道型探头为-40至110℃，插入式探头为-40至150℃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8956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76D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r>
      <w:tr w14:paraId="672D5C7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52C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4C59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风管温湿度传感器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A021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EE160，湿度测量范围为0</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bidi="ar"/>
              </w:rPr>
              <w:t>100% RH，温度测量范围为 -40</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bidi="ar"/>
              </w:rPr>
              <w:t>60 °C，在20°C时的典型精度为±2.5% RH和±0.3 °C。该传感器提供多种输出选项，包括可自由配置的0-10V或4</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20mA模拟信号，以及支持Modbus RTU或BACnet MS/TP协议的RS485数字接口。它采用IP65/NEMA 4X防护等级的聚碳酸酯外壳，支持墙壁或风管两种安装方式，并配有免费配置软件，方便用户设定参数和进行校准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86F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EAC8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r>
      <w:tr w14:paraId="7E2085E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01C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BA6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风管压力传感器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61A1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EE600，采用压阻式敏感元件，提供1000 Pa和10000 Pa两种满量程，并具备±0.5% FS的测量精度。其输出方式灵活，可选0-5/10V、0/4</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20mA等模拟信号，或通过RS485接口输出Modbus RTU数字信号。该产品具备IP65/NEMA 4X的高防护等级，并支持通过DIP拨码开关或免费的PCS10软件进行量程、输出等参数的自由配置</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68F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B83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r>
      <w:tr w14:paraId="44C48C7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302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A34E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液位传感器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FE73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17C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BEF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4ED0DEC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B7A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6FEC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水管压力传感器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D8B0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QBE2103-P16，量程0至16 bar，输出4</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20mA模拟信号，供电电压为DC 7…33 V或AC 24 V，精度为±0.5% FS（满量程）。它采用压阻式测量原理，通过G½" 外螺纹连接，接液材质为316L不锈钢，适用介质温度-15…125℃。产品防护等级为IP65，具备出色的抗过载能力（2.5倍满量程）和长期稳定性，</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5B7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A93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4B3C7B9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AB5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7AD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水管温度传感器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41900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QAE2174.010（T），采用 Pt1000 或 NTC 10k 敏感元件，提供 4~20 mA 模拟量输出信号，供电电压为 DC 13.5~35 V。产品测量范围为 -10~+120 °C，浸入长度为 100 mm，探头材质为 316Ti 不锈钢。其测量精度在0~70 °C范围内为 ±1 K，在全量程-40~120 °C范围内为 ±1.4 K。产品防护等级为 IP54，最大工作压力为 PN10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39C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3F5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3A91776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91A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9E58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水流开关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350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QVE1901，适用于DN20至DN200的管道，支持G½" 螺纹连接，可承受PN25的压力，介质温度范围为-20至+110℃。其触点容量最大为AC 230V/1A或DC 48V/1A，开关点可手动设定（常开/常关），并具备IP65的高防护等级</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3EF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C32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00BB7E7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72B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AEE1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液位开关</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9F79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32B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D27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0C6D526D">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71F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2FB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风阀执行器，10NM模拟</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94F7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GLB161.1E，额定扭矩10Nm，适用风阀面积约1.5㎡（具体需参考风阀制造商数据），旋转角度90°，定位时间150s。供电方面，它采用AC 24V工作电压，并可兼容DC 24</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48V；控制信号为DC 0-10V模拟量，并集成了电位计用于阀位反馈。产品配备0.9米连接电缆，防护等级为IP54，可适应-32-55℃的环境温度。其采用低功耗、低噪音的直流无刷电机，支持顺时针或逆时针旋转，并可通过手动按钮进行手动调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67F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567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w:t>
            </w:r>
          </w:p>
        </w:tc>
      </w:tr>
      <w:tr w14:paraId="7508BEA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5279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6347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风阀执行器，10NM开关，无反馈</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DD32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GLB141.1E，采用AC/DC 24V工作电压，额定扭矩</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E6D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1B0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77</w:t>
            </w:r>
          </w:p>
        </w:tc>
      </w:tr>
      <w:tr w14:paraId="441B6095">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C5F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9714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风阀执行器，20NM开关，无反馈</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520D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GEB141.1E，扭矩：20Nm；适配风阀面积：约4㎡（具体需参考风阀制造商数据）；旋转角度：0</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bidi="ar"/>
              </w:rPr>
              <w:t>90°；定位时间：150s；工作电压：AC 24V / DC 24</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48V或AC 100</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240V；控制信号：支持开关/三位控制，或DC 0/2</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10V模拟量控制；防护等级：IP54；连接电缆：标配0.9米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；机械调节：带位置指示和可调机械限位器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6CD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BF0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78EA74B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7B8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FD2A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氧气浓度传感器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F98A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783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87C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5B3EDAC">
        <w:tblPrEx>
          <w:tblCellMar>
            <w:top w:w="0" w:type="dxa"/>
            <w:left w:w="108" w:type="dxa"/>
            <w:bottom w:w="0" w:type="dxa"/>
            <w:right w:w="108" w:type="dxa"/>
          </w:tblCellMar>
        </w:tblPrEx>
        <w:trPr>
          <w:trHeight w:val="6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8E9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1AD2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二氧化碳浓度传感器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5D31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QPA1004，采用非色散红外（NDIR） 技术进行测量，具有无需维护或重新校准的特点。该传感器的CO₂测量范围为 0</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bidi="ar"/>
              </w:rPr>
              <w:t>2000 ppm。在电气规格方面，它支持 AC/DC 24V 供电，并提供 DC 0</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bidi="ar"/>
              </w:rPr>
              <w:t>10V 的模拟量输出信号。其防护等级为 IP30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E56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16B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2B2AD7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2AC01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B7</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55235A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远程监控系统</w:t>
            </w:r>
          </w:p>
        </w:tc>
      </w:tr>
      <w:tr w14:paraId="2681F24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E7B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8F25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工作站</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D40A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I7，16G，256+1T，27寸，i7处理器，16GB内存，256g固态，1T机械硬盘，配27寸显示，键盘鼠标套装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E69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9DB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6DB21D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5A7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1F9BF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服务器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EAD2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1U机架式服务器，至强4核处理器，16GB内存，2*1.2T SATA，raid 1</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606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379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51B265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8C1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2CE9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Wincc V8.1冗余选件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27369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020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26D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A45742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105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CCE6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Wincc V8.1服务器选件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A01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2019/2022（标准版/数据中心版）。本项为软件的服务器功能插件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C29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3E2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487539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5BE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CB4F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授权变量RC 65536</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F2AF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2019/2022（标准版/数据中心版）。本项为软件可支持的点位授权（最大支持65536个外部变量采集）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912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2EB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FCD47F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1A6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68C7D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操作站授权RT128</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327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2019/2022（标准版/数据中心版）。本项为软件可支持的点位授权（最大支持128个外部变量采集）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5F9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EC7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54D6A0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5C7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CFB6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归档授权1500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4C3C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2019/2022（标准版/数据中心版）。本项为软件可支持的点位授权（最大支持1500个外部变量存储）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11C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6D6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0596EC0">
        <w:tblPrEx>
          <w:tblCellMar>
            <w:top w:w="0" w:type="dxa"/>
            <w:left w:w="108" w:type="dxa"/>
            <w:bottom w:w="0" w:type="dxa"/>
            <w:right w:w="108" w:type="dxa"/>
          </w:tblCellMar>
        </w:tblPrEx>
        <w:trPr>
          <w:trHeight w:val="20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84D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1255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EE9A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24口全千兆非网管型以太网交换机，采用无风扇静音设计，符合≥19英寸机架安装标准，也可桌面放置。它提供24个10/100/1000Mbps自适应RJ45端口，所有端口均支持自动翻转（Auto MDI/MDIX） 和自动协商功能，可自动识别直连或交叉网线并调整传输模式。性能方面，其背板带宽为48Gbps，包转发率达35.7Mpps，MAC地址表容量为8K，并支持10KB巨型帧以提升大文件传输效率。该交换机遵循IEEE 802.3、802.3u、802.3ab、802.3x等网络标准，采用存储转发交换模式，支持IEEE 802.3x全双工流控和半双工背压流控。它内置节能技术，能根据端口连接状态和线缆长度自动调整功耗，节省电力最高可达20%。该产品即插即用，无需任何配置，工作温度范围为0℃至40℃，存储温度范围为-40℃至70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F64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FE3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CF9D52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37C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6F80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打印机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9409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A4 彩色激光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984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562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CE882A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7F1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3FA5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冷机接口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9CDA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D27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3A6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687CA33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881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0D66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定压补水接口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FD7D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9388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249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14C69F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D99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F9FF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自动加药装置接口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FA1C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45F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0413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6804AA1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C2C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412C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空调机组接口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AFFC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E9F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66E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0344FDF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09F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D10F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通风橱接口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4601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D3D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7B1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4A36A00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750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9604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除臭接口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6A80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8C2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418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5F86D26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1128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B74B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干式化学过滤器接口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3AB7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E49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685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F6805B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4EA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814C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冷凝水提升装置接口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D167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FB3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9BF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E184C5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59A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0BCF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蒸汽发生器接口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35D2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B58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AD8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15B2CD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864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58A1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接口转换器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E8FA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Modbus RTU 协议转换为标准的 Modbus TCP 协议。它配备 1 个网口和 2 个 RS485 串口，动态支持 512 个数据点。硬件方面采用 300MHz 处理器、64M 内存和 128M Flash，基于 Linux 系统运行，支持 AC 12~24V 或 DC 12-42V 宽压供电，功耗约 6W。支持 导轨式安装，工作温度范围为 -20℃ 至 70℃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FB9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BF8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r>
      <w:tr w14:paraId="517B06F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42F01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B8</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EB90E4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编程调试</w:t>
            </w:r>
          </w:p>
        </w:tc>
      </w:tr>
      <w:tr w14:paraId="67B09E3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793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7BC4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调试费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0F0E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调试费及相关费用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ECF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6C2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E271E3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F61F3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B9</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508005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控制器</w:t>
            </w:r>
          </w:p>
        </w:tc>
      </w:tr>
      <w:tr w14:paraId="2039937D">
        <w:tblPrEx>
          <w:tblCellMar>
            <w:top w:w="0" w:type="dxa"/>
            <w:left w:w="108" w:type="dxa"/>
            <w:bottom w:w="0" w:type="dxa"/>
            <w:right w:w="108" w:type="dxa"/>
          </w:tblCellMar>
        </w:tblPrEx>
        <w:trPr>
          <w:trHeight w:val="632"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1398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6263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CPU</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F3193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规格型号：1510，高性能中央处理器，其位运算速度典型值仅6ns，字运算7 ns，定点运算42 ns，浮点运算170ns，集成工作存储器（程序200 KB，数据1MB），并支持最大32 GB的SIMATIC 存储卡扩展。通信方面配备 PROFINET IRT接口，集成3端口交换机（其中1个为 RJ45，另外2个需通过总线适配器连接），最多可连接128个IO设备，并支持时钟同步和热插拔功能。供电额定 DC 24V（允许范围19.2V～28.8V），典型功耗约6.5 W，具备反极性保护和断电跨接（≥10 ms）。工作环境温度-0℃～50℃。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C4F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F0E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59EB89B">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AD19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3DCE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存储卡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40B0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4M，Flash-EPROM 型存储卡。它提供 4 MByte 的存储容量，支持最少50。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933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623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DC29F9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9E5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DAC3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模拟量扩展模块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A16F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8AI，8 通道模拟量输入模块（视情况选用电流或电压型）。电流型支持2 线制或4 线制电流信号，输入电流范围为0/4至 20mA 或-20至+20 mA，精度为16 位，每通道转换时间最快可达1ms。模块采用 DC 24V 供电（允许范围19.2V 至28.8V），典型功耗仅0.7 W，并集成了模块诊断功能，支持 I&amp;M 数据（I&amp;M0 至 I&amp;M3）。其宽度仅 15 mm。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61D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2122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r>
      <w:tr w14:paraId="3F95BAAF">
        <w:tblPrEx>
          <w:tblCellMar>
            <w:top w:w="0" w:type="dxa"/>
            <w:left w:w="108" w:type="dxa"/>
            <w:bottom w:w="0" w:type="dxa"/>
            <w:right w:w="108" w:type="dxa"/>
          </w:tblCellMar>
        </w:tblPrEx>
        <w:trPr>
          <w:trHeight w:val="18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B14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E9EA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基座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544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标准的 15mm 宽信号模块（如数字量、模拟量模块）提供安装底座和电气连接。该模块采用创新的直插式（Push-in）接线技术，支持 0.14 mm² 至 2.5 mm²（AWG 26 至 14）的导线，可实现免工具快速接线。其额定供电电压为 DC 24V，P1/P2 背板总线最大载流能力为 10A，过程端子最大载流能力为 2A。该模块具备向左侧桥接电位功能，可将电源电位从左邻模块传导过来，并支持自动编码，便于系统集成。工作环境温度根据安装方式不同，水平安装时为 -30℃ 至 60℃，垂直安装时为 -30℃ 至 50℃。模块防护等级为 IP20。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93B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2F3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r>
      <w:tr w14:paraId="210272C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7DA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F28C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自控柜</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E8DC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2000*800*600，柜体主要采用冷轧钢板制作，标准配置下箱体板材厚度1.5mm，门板2.0mm，安装板2.5mm。表面经酸洗磷化、静电喷塑处理，标准颜色通常为RAL7032或RAL7035。防护等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B35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6A2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CCA249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F4C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543B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9B3C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8口百兆非网管型工业交换机。具备-40℃至75℃的宽温工作能力和9.6V~60VDC的宽电压输入，支持DIN导轨安装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43B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419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46FEEE6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4F9A3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B10</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FAE2E8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现场仪表</w:t>
            </w:r>
          </w:p>
        </w:tc>
      </w:tr>
      <w:tr w14:paraId="5E92832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E97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73DD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房间温湿度传感器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864A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EE160，湿度测量范围为0~100% RH，温度测量范围为 -40~60 °C，在20°C时的典型精度为±2.5% RH和±0.3 °C。该传感器提供多种输出选项，包括可自由配置的0-10V或4-20mA模拟信号，以及支持Modbus RTU或BACnet MS/TP协议的RS485数字接口。它采用IP65/NEMA 4X防护等级的聚碳酸酯外壳，支持墙壁或风管两种安装方式，并配有免费配置软件，方便用户设定参数和进行校准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008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060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92</w:t>
            </w:r>
          </w:p>
        </w:tc>
      </w:tr>
      <w:tr w14:paraId="235ADB6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A7B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4698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房间压力传感器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B22F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EE600，采用压阻式敏感元件，提供1000 Pa和10000 Pa两种满量程，并具备±0.5% FS的测量精度。其输出方式灵活，可选0-5/10V、0/4-20mA等模拟信号，或通过RS485接口输出Modbus RTU数字信号。该产品具备IP65/NEMA 4X的高防护等级，并支持通过DIP拨码开关或免费的PCS10软件进行量程、输出等参数的自由配置</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DA1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6C4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174</w:t>
            </w:r>
          </w:p>
        </w:tc>
      </w:tr>
      <w:tr w14:paraId="79B579C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E76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8FA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信号分配器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19171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0F0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19C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174</w:t>
            </w:r>
          </w:p>
        </w:tc>
      </w:tr>
      <w:tr w14:paraId="74FE754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930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E8E5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仪表校验费用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6749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满足招标参数及实际施工需求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A94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E7D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266</w:t>
            </w:r>
          </w:p>
        </w:tc>
      </w:tr>
      <w:tr w14:paraId="199E582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15373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B11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27D3A9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远程监控系统</w:t>
            </w:r>
          </w:p>
        </w:tc>
      </w:tr>
      <w:tr w14:paraId="5A9905B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F1A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700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工作站</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984C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I7，16G，256+1T，27寸，i7处理器，16GB内存，256g固态，1T机械硬盘，配27寸显示，键盘鼠标套装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A1D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261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5F77F2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208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3214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服务器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75E6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1U机架式服务器，至强4核处理器，16GB内存，2*1.2T SATA，raid 1</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79C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2F1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959F8F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EF1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9520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Wincc V8.1冗余选件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4E87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2019/2022（标准版/数据中心版）。本项为软件的冗余功能插件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D2B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D75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DE513E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705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B935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Wincc V8.1服务器选件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36F6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2019/2022（标准版/数据中心版）。本项为软件的服务器功能插件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7714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151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C9DCCF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F53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3CFD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授权变量RC2048</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45E4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2019/2022（标准版/数据中心版）。本项为软件可支持的点位授权（最大支持2048个外部变量采集）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B7D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6C8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03A5F4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89D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D619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操作站授权RT128</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AFC5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2019/2022（标准版/数据中心版）。本项为软件可支持的点位授权（最大支持128个外部变量采集）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48E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219F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2F3D9E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2A1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5F9C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归档授权1500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73FB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作为经 IEC 62443 认证的SCADA系统，它内置安全通信、加密数据交换、系统强化及用户/角色管理。系统与兼容性：支持 Windows 10/11（64位专业版/企业版）及 Windows Server 2019/2022（标准版/数据中心版）。本项为软件可支持的点位授权（最大支持1500个外部变量存储）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392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47B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C5261AA">
        <w:tblPrEx>
          <w:tblCellMar>
            <w:top w:w="0" w:type="dxa"/>
            <w:left w:w="108" w:type="dxa"/>
            <w:bottom w:w="0" w:type="dxa"/>
            <w:right w:w="108" w:type="dxa"/>
          </w:tblCellMar>
        </w:tblPrEx>
        <w:trPr>
          <w:trHeight w:val="20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74A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4B81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交换机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96EC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24口全千兆非网管型以太网交换机，采用无风扇静音设计，符合≥19英寸机架安装标准，也可桌面放置。它提供24个10/100/1000Mbps自适应RJ45端口，所有端口均支持自动翻转（Auto MDI/MDIX） 和自动协商功能，可自动识别直连或交叉网线并调整传输模式。性能方面，其背板带宽为48Gbps，包转发率达35.7Mpps，MAC地址表容量为8K，并支持10KB巨型帧以提升大文件传输效率。该交换机遵循IEEE 802.3、802.3u、802.3ab、802.3x等网络标准，采用存储转发交换模式，支持IEEE 802.3x全双工流控和半双工背压流控。它内置节能技术，能根据端口连接状态和线缆长度自动调整功耗，节省电力最高可达20%。该产品即插即用，无需任何配置，工作温度范围为0℃至40℃，存储温度范围为-40℃至70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CD2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483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BB2169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3F5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59A4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打印机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1761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A4 彩色激光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1CF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F77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344D42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333C2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B12</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D54058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编程调试</w:t>
            </w:r>
          </w:p>
        </w:tc>
      </w:tr>
      <w:tr w14:paraId="27E1360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415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48CE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调试费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588D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调试费及相关费用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406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BAF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AD553B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7B4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2648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EMS验证服务费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EF03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调试费及相关费用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2CD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34D9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7F3751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0C18C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B13</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3CD0D5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桥架、配管、配线</w:t>
            </w:r>
          </w:p>
        </w:tc>
      </w:tr>
      <w:tr w14:paraId="1BAAA25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736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3A66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84C4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1.名称：热镀锌自控桥架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2.规格：100*100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3.材质：热镀锌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：含盖板、隔板、补刷（喷）油漆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：详见设计图纸及招标文件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DC6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971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99.9</w:t>
            </w:r>
          </w:p>
        </w:tc>
      </w:tr>
      <w:tr w14:paraId="74B4B12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8FD5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A0C5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F8D2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1.名称：热镀锌自控桥架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2.规格：200*100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3.材质：热镀锌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：含盖板、隔板、补刷（喷）油漆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：详见设计图纸及招标文件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92A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7EE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704.55</w:t>
            </w:r>
          </w:p>
        </w:tc>
      </w:tr>
      <w:tr w14:paraId="2E8219B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A4F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32F9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400D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1.名称：热镀锌自控桥架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2.规格：300*100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3.材质：热镀锌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：含盖板、隔板、补刷（喷）油漆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：详见设计图纸及招标文件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D5D3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7CB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95.16</w:t>
            </w:r>
          </w:p>
        </w:tc>
      </w:tr>
      <w:tr w14:paraId="2AE481B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1B5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DC46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CF0E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1.名称：屋面热镀锌自控桥架（加防水盖板）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2.规格：100*100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3.材质：热镀锌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：含盖板、隔板、补刷（喷）油漆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：详见设计图纸及招标文件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A5AE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8A3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42.9</w:t>
            </w:r>
          </w:p>
        </w:tc>
      </w:tr>
      <w:tr w14:paraId="0954C76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C59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E5CF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CC64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1.名称：屋面热镀锌自控桥架（加防水盖板）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2.规格：200*100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3.材质：热镀锌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：含盖板、隔板、补刷（喷）油漆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：详见设计图纸及招标文件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7A9A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9C2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45.3</w:t>
            </w:r>
          </w:p>
        </w:tc>
      </w:tr>
      <w:tr w14:paraId="775EC66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9CD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96A6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4FA9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1.名称：屋面热镀锌自控桥架（加防水盖板）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2.规格：300*100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3.材质：热镀锌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179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F57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12.6</w:t>
            </w:r>
          </w:p>
        </w:tc>
      </w:tr>
      <w:tr w14:paraId="2374854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A074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E7A1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5D34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2.规格：KVV2x1.0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70D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AC1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6770.9</w:t>
            </w:r>
          </w:p>
        </w:tc>
      </w:tr>
      <w:tr w14:paraId="137891C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D41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BD05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AE45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2.规格：KVVP3x1.0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61F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93C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28335.25</w:t>
            </w:r>
          </w:p>
        </w:tc>
      </w:tr>
      <w:tr w14:paraId="5C1D3D6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830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08A5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45BF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2.规格：KVVP4x1.0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E36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ED2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8854.31</w:t>
            </w:r>
          </w:p>
        </w:tc>
      </w:tr>
      <w:tr w14:paraId="5035A7A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4AE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0AE59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双绞线缆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8F52E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1.名称：双绞线缆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2.规格：UTP-CAT.6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69B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981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5761.5</w:t>
            </w:r>
          </w:p>
        </w:tc>
      </w:tr>
      <w:tr w14:paraId="7EBBA78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68D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E7E6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0F8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2.规格：紧定式镀锌管JDG20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9CB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AA6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3960.54</w:t>
            </w:r>
          </w:p>
        </w:tc>
      </w:tr>
      <w:tr w14:paraId="2035C09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497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35BD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D0E2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2.规格：金属软管DN20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3.配置形式：明敷</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C4EA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B74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825.75</w:t>
            </w:r>
          </w:p>
        </w:tc>
      </w:tr>
      <w:tr w14:paraId="21C7FB9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0C3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7EDA2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铁构件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2DBC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1.名称：支吊架制作、安装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1DE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BEA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2844.75</w:t>
            </w:r>
          </w:p>
        </w:tc>
      </w:tr>
      <w:tr w14:paraId="5D4B6C2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B04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D96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金属结构刷油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3C1C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1.名称：支吊架、除锈、刷油，具体详见设计及说明</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12E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DB7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2844.75</w:t>
            </w:r>
          </w:p>
        </w:tc>
      </w:tr>
      <w:tr w14:paraId="053FF34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337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D7D8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标识牌</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007B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1.名称：标识牌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382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A44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r>
      <w:tr w14:paraId="3F492D8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0CC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5F52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接点接线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682B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1.名称：无端子外部接线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2.规格：（mm2）≤2.5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3.配电箱下端接线</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9A6F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FDC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978</w:t>
            </w:r>
          </w:p>
        </w:tc>
      </w:tr>
      <w:tr w14:paraId="435F5E9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F761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47DC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控制电缆头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22CC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1.名称：控制电缆头</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CAC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9C7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00AF400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FE0B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DD40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建筑设备自控化系统调试</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DF23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建筑设备自控化系统调试</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9BD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户</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1FE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1E6F5F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6CD3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6D18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建筑设备自控化系统试运行</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C6A7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建筑设备自控化系统试运行</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3B1F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系统</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0236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B5E5C94">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6C5D8A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1E07AF5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实验室空气处理末端设备采购和安装项目</w:t>
            </w:r>
          </w:p>
        </w:tc>
      </w:tr>
      <w:tr w14:paraId="1F10C6F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903A8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C1</w:t>
            </w:r>
          </w:p>
        </w:tc>
        <w:tc>
          <w:tcPr>
            <w:tcW w:w="1129"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548D4B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空调设备</w:t>
            </w:r>
          </w:p>
        </w:tc>
        <w:tc>
          <w:tcPr>
            <w:tcW w:w="2441"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99E7E7B">
            <w:pPr>
              <w:spacing w:line="360" w:lineRule="auto"/>
              <w:rPr>
                <w:rFonts w:hint="eastAsia" w:ascii="宋体" w:hAnsi="宋体" w:eastAsia="宋体" w:cs="宋体"/>
                <w:color w:val="auto"/>
                <w:sz w:val="24"/>
                <w:szCs w:val="24"/>
                <w:highlight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93D491A">
            <w:pPr>
              <w:spacing w:line="360" w:lineRule="auto"/>
              <w:ind w:firstLine="120" w:firstLineChars="50"/>
              <w:jc w:val="center"/>
              <w:rPr>
                <w:rFonts w:hint="eastAsia" w:ascii="宋体" w:hAnsi="宋体" w:eastAsia="宋体" w:cs="宋体"/>
                <w:color w:val="auto"/>
                <w:sz w:val="24"/>
                <w:szCs w:val="24"/>
                <w:highlight w:val="none"/>
              </w:rPr>
            </w:pPr>
          </w:p>
        </w:tc>
        <w:tc>
          <w:tcPr>
            <w:tcW w:w="544" w:type="pct"/>
            <w:tcBorders>
              <w:top w:val="single" w:color="000000" w:sz="4" w:space="0"/>
              <w:left w:val="single" w:color="000000" w:sz="4" w:space="0"/>
              <w:bottom w:val="single" w:color="000000" w:sz="4" w:space="0"/>
              <w:right w:val="single" w:color="000000" w:sz="4" w:space="0"/>
            </w:tcBorders>
            <w:shd w:val="clear" w:color="auto" w:fill="F2F2F2"/>
            <w:noWrap/>
            <w:vAlign w:val="center"/>
          </w:tcPr>
          <w:p w14:paraId="0C03AEB1">
            <w:pPr>
              <w:spacing w:line="360" w:lineRule="auto"/>
              <w:ind w:firstLine="120" w:firstLineChars="50"/>
              <w:jc w:val="center"/>
              <w:rPr>
                <w:rFonts w:hint="eastAsia" w:ascii="宋体" w:hAnsi="宋体" w:eastAsia="宋体" w:cs="宋体"/>
                <w:color w:val="auto"/>
                <w:sz w:val="24"/>
                <w:szCs w:val="24"/>
                <w:highlight w:val="none"/>
              </w:rPr>
            </w:pPr>
          </w:p>
        </w:tc>
      </w:tr>
      <w:tr w14:paraId="48771C9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E14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35E9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9EC7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 PF-B1F-01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3.规格：计算风量3000m3/h，机外余压750Pa，风机</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448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859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2B4F4A8">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7A9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7041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2407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 SGP-B1-01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3.规格：计算风量6000m3/h，机外余压250Pa，风机功率0.55kW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44B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9B6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3F13362">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DE1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E5B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AC0F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 EF-B1F-01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3.规格：计算风量7500m3/h，机外余压300Pa，风机功率1.5kW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2AC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B7C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F51F9B1">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8A6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540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728B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 EF-1F-01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3.规格：计算风量1000m3/h，机外余压150Pa，风机功率0.2kW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490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E3E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5CCA5F5">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F11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B96E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C203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 EF-1F-02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3.规格：计算风量3500m3/h，机外余压200Pa，风机功率0.75kW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8CE0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DD5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26C9D08">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71D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8EF1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13B1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 PHF-1F-01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3.规格：计算风量19000m3/h，机外余压1200Pa，风机功率18.5kW，蒸发冷凝热回收补水量179kg/h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9F48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512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9E1C26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D1F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9A57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B226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2.系统编号：PHF-1F-02</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9CC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E41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DBB7605">
        <w:tblPrEx>
          <w:tblCellMar>
            <w:top w:w="0" w:type="dxa"/>
            <w:left w:w="108" w:type="dxa"/>
            <w:bottom w:w="0" w:type="dxa"/>
            <w:right w:w="108" w:type="dxa"/>
          </w:tblCellMar>
        </w:tblPrEx>
        <w:trPr>
          <w:trHeight w:val="61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640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E3F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1DC5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2.系统编号：PHF-1F-03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3.规格：计算风量3000m3/h，机外余压900Pa，风机功率2.2kW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E97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D37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2CF61DA">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B45A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7239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C25E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2.系统编号：PHF-2F-01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3.规格：计算风量48500m3/h，机外余压1200Pa，风机功率45kW，蒸发冷凝热回收补水量460kg/h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4C4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4E1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E04023D">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24D6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9605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A52A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2.系统编号：EF-2F-01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3.规格：计算风量500m3/h，机外余压150Pa，风机功率0.2kW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A9A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40B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3F5B4DE">
        <w:tblPrEx>
          <w:tblCellMar>
            <w:top w:w="0" w:type="dxa"/>
            <w:left w:w="108" w:type="dxa"/>
            <w:bottom w:w="0" w:type="dxa"/>
            <w:right w:w="108" w:type="dxa"/>
          </w:tblCellMar>
        </w:tblPrEx>
        <w:trPr>
          <w:trHeight w:val="651"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409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3DE2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3184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2.系统编号：PHF-3F-01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3.规格：计算风量36500m3/h，机外余压1200Pa，风机功率37kW，蒸发冷凝热回收补水量344kg/h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61C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72E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72A802D">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AE6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ABA0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953C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2.系统编号：EF-3F-01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3.规格：计算风量1000m3/h，机外余压150Pa，风机功率0.2kW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21A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070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D0C308A">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8D2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9A2E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912B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2.系统编号：PF-3F-01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3.规格：计算风量27500m3/h，机外余压1350Pa，风机功率30kW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C02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FF5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0E2DA70">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B46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6AC1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1BA1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 PF-3F-02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3.规格：计算风量5000m3/h，机外余压750Pa，风机功率3kW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7D4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CEC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5CC3A9D">
        <w:tblPrEx>
          <w:tblCellMar>
            <w:top w:w="0" w:type="dxa"/>
            <w:left w:w="108" w:type="dxa"/>
            <w:bottom w:w="0" w:type="dxa"/>
            <w:right w:w="108" w:type="dxa"/>
          </w:tblCellMar>
        </w:tblPrEx>
        <w:trPr>
          <w:trHeight w:val="762"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E9BE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BDE0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3A91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1.名称：双通道排风机组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2.系统编号：PHF-4F-01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3.规格：计算风量50000m3/h，机外余压1200Pa，风机功率45kW，蒸发冷凝热回收补水量472kg/h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EB5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286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63367A8">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A0E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835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A7DA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2.系统编号：EF-4F-01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3.规格：计算风量1000m3/h，机外余压150Pa，风机功率0.2kW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3B6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A5F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BBF3566">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D5B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C9E63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C494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2.系统编号：PF-4F-01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3.规格：计算风量6500m3/h，机外余压750Pa，风机功率4kW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D03A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1D7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1528F1A">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EF7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2972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E13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2.系统编号：EF-RF-01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3.规格：计算风量1500m3/h，机外余压150Pa，风机功率0.3kW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4.安装形式：吊装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73D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FB5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BE1D996">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76B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ED45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排风机组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085E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1.名称：单通道排风机组</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2.系统编号：PF-2F-01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3.规格：计算风量2500m3/h，机外余压750Pa，风机功率1.5kW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5.含电机检查接线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DBA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1D6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AE7AB67">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49ABD7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C2</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58254F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除臭设备</w:t>
            </w:r>
          </w:p>
        </w:tc>
      </w:tr>
      <w:tr w14:paraId="6D6BDE4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30C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819D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一体扰流喷淋除臭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F7C3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1.名称：一体扰流喷淋除臭（普通型）+智能加药器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2.系统编号：CC-01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3.规格：设备风量19000m3/h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632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36D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6AAC49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B66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BF44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一体扰流喷淋除臭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FFC4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1.名称：一体扰流喷淋除臭（普通型）+智能加药器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2.系统编号：CC-02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3.规格：设备风量48500m3/h，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7BBE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D9A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A30467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F4C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8C04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一体扰流喷淋除臭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D77B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1.名称：一体扰流喷淋除臭（普通型）+智能加药器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2.系统编号：CC-03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3.规格：设备风量36500m3/h，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869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47D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DEE589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24A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2150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一体扰流喷淋除臭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C897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1.名称：一体扰流喷淋除臭（普通型）+智能加药器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2.系统编号：CC-04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3.规格：设备风量50000m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5DDA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8F2F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FDCDE07">
        <w:tblPrEx>
          <w:tblCellMar>
            <w:top w:w="0" w:type="dxa"/>
            <w:left w:w="108" w:type="dxa"/>
            <w:bottom w:w="0" w:type="dxa"/>
            <w:right w:w="108" w:type="dxa"/>
          </w:tblCellMar>
        </w:tblPrEx>
        <w:trPr>
          <w:trHeight w:val="22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235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1C7D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干式化学过滤器HXT-01</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1F10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1.名称：干式化学过滤器HXT-01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2.系统编号：HXT-01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设备风量27500m3/h，功率1.2kW，最大风阻300Pa，壳体不低于304不锈钢材质，混合型填料、有效处理有机性气体、酸碱气体，对苯吸附率不低于49%，对碘吸附值不低于1000mg/g，对甲醛的吸附率不低于42%，对四氯化碳的吸附率大于80%，对氨气的吸附效率不低于95%，着火点不低于495摄氏度，氯气吸附效率不低于95%，二氧化硫吸附效率不低于99%，硫化氢吸附效率不低于99%，VOC类气体吸附效率不低于99%。</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5.含设备减震装置、电机检查接线和设备安装调试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FCF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211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6DC411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CFFCC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C3</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948C39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多联机系统</w:t>
            </w:r>
          </w:p>
        </w:tc>
      </w:tr>
      <w:tr w14:paraId="1088C790">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6DC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90E9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多联式变制冷剂流量空调器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2894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1.名称：多联式变制冷剂流量空调器室外机VRF（O）-RF-01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2.制冷量123kW，功率35.5kW，制热量138kW，功率34.02kW，噪声65dB（A）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4.含设备减震装置、电机检查接线和设备安装调试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356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419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2FC792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355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C4DE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多联式变制冷剂流量空调器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3460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1.名称：多联式变制冷剂流量空调器室外机VRF（O）-RF-02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2.制冷量61.5kW，功率17.75kW，制热量69kW，功率17.01kW，噪声63dB（A）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4.含设备减震装置、电机检查接线和设备安装调试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D0F8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10D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FA3569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AA5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5702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多联式变制冷剂流量空调器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F13C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1.名称：多联式变制冷剂流量空调器室外机VRF（O）-RF-03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2.制冷量129.5kW，功率38.25kW，制热量145.5kW，功率37.11kW，噪声65dB（A）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4.含设备减震装置、电机检查接线和设备安装调试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4DA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229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AA49C98">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786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5935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多联式变制冷剂流量空调器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8A66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1.名称：多联式变制冷剂流量空调器室外机VRF（O）-RF-04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2.制冷量78.5kW，功率20.19kW，制热量87.5kW，功率20.67kW，噪声63dB（A）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4.含设备减震装置、电机检查接线和设备安装调试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CE6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AA46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7DE004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514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42F8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多联式变制冷剂流量空调器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3DCD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1.名称：多联式变制冷剂流量空调器室外机VRF（O）-RF-05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2.制冷量18kW，功率5.3kW，制热量20kW，功率5.4kW，噪声56dB（A）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4.含设备减震装置、电机检查接线和设备安装调试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B75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AF1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8507B0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DF0D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3D04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多联式变制冷剂流量空调器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1CF1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1.名称：多联式变制冷剂流量空调器室外机VRF（O）-RF-06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2.制冷量25.2kW，功率5.4kW，制热量27kW，功率5.75kW，噪声56dB（A）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3.安装形式：落地安装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4.含设备减震装置、电机检查接线和设备安装调试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081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69D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D4340A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98D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CD3E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6279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1.名称：F125，内藏风管式室内机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2.规格：风量：1720m3/h，制冷量：12.5</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；制热量：13.5</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3.安装形式：沿吊顶安装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4.试压要求：满足设计及相关规范要求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D726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0A2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64141D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53D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7561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EEA8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1.名称：D28，四面出风型室内机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2.规格：风量：410m3/h，制冷量：2.8W；制热量：3.2KW；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3.安装形式：沿吊顶安装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4.试压要求：满足设计及相关规范要求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3A4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719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04CF17CD">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E98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6D27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AAEF0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1.名称：D36，四面出风型室内机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2.规格：风量：490m3/h，制冷量：3.6</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；制热量：4.0</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3.安装形式：沿吊顶安装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4.试压要求：满足设计及相关规范要求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AB0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1A8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r>
      <w:tr w14:paraId="3D77F0D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E93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EDAC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0DCE9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1.名称：D45，四面出风型室内机</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53E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E84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r>
      <w:tr w14:paraId="538F56CD">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E34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A358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6813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1.名称：D56，四面出风型室内机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2.规格：风量：800m3/h，制冷量：5.6</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；制热量：6.3</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3.安装形式：沿吊顶安装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4.试压要求：满足设计及相关规范要求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963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1A6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r>
      <w:tr w14:paraId="14615CCE">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4D8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011D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72CF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1.名称：D71，四面出风型室内机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2.规格：风量：1140m3/h，制冷量：7.1</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；制热量：8.0</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3.安装形式：沿吊顶安装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4.试压要求：满足设计及相关规范要求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031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15F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2E99C3B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A21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A8D0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996B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1.名称：D80，四面出风型室内机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2.规格：风量：1180m3/h，制冷量：8.0</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；制热量：9.0</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3.安装形式：沿吊顶安装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4.试压要求：满足设计及相关规范要求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19D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CAD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074AFA9">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991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497D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变冷媒流量多联机室内机</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632F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1.名称：D125，四面出风型室内机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2.规格：风量：1720m3/h，制冷量：12.5</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；制热量：13.5</w:t>
            </w:r>
            <w:r>
              <w:rPr>
                <w:rFonts w:hint="eastAsia" w:ascii="宋体" w:hAnsi="宋体" w:eastAsia="宋体" w:cs="宋体"/>
                <w:color w:val="auto"/>
                <w:kern w:val="0"/>
                <w:sz w:val="24"/>
                <w:szCs w:val="24"/>
                <w:highlight w:val="none"/>
                <w:lang w:eastAsia="zh-CN" w:bidi="ar"/>
              </w:rPr>
              <w:t>kW</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3.安装形式：沿吊顶安装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4.试压要求：满足设计及相关规范要求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962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4B3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9C9E8B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34C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7C38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低压铜及铜合金管件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BC7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1.安装部位：冷媒系统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2.介质：冷媒管</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液管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3.规格、压力等级：φ15.9</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83F9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B7B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r>
      <w:tr w14:paraId="6E876C7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FD5B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6046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低压铜及铜合金管件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881F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1.安装部位：冷媒系统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2.介质：冷媒管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000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79E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0FD6E8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681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E09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低压铜及铜合金管件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261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1.安装部位：冷媒系统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2.介质：冷媒管</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液管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3.规格、压力等级：φ22.2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5DA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12A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0A667B7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69E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DFDD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低压铜及铜合金管件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8A51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1.安装部位：冷媒系统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2.介质：冷媒管</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液管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3.规格、压力等级：φ25.4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64E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49D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6824ADEE">
        <w:tblPrEx>
          <w:tblCellMar>
            <w:top w:w="0" w:type="dxa"/>
            <w:left w:w="108" w:type="dxa"/>
            <w:bottom w:w="0" w:type="dxa"/>
            <w:right w:w="108" w:type="dxa"/>
          </w:tblCellMar>
        </w:tblPrEx>
        <w:trPr>
          <w:trHeight w:val="357"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02A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A2EB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低压铜及铜合金管件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7DB0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1.安装部位：冷媒系统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2.介质：冷媒管</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液管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3.规格、压力等级：φ28.6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C67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AE6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5CBB470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A91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E1DA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低压铜及铜合金管件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2937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1.安装部位：冷媒系统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2.介质：冷媒管</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液管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3.规格、压力等级：φ31.05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1CE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324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7CC19B7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2F6A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1774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低压铜及铜合金管件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8D4AE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1.安装部位：冷媒系统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2.介质：冷媒管</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液管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3.规格、压力等级：φ38.1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5.压力试验及吹、洗设计要求：其他详见设计图纸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41A3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7F61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EC3C382">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B49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74B4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7A3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4.规格、压力等级：φ44.5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34B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0AE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98.96</w:t>
            </w:r>
          </w:p>
        </w:tc>
      </w:tr>
      <w:tr w14:paraId="743C4AE7">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CAC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9752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948A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4.规格、压力等级：φ38.1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D3AC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262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88.08</w:t>
            </w:r>
          </w:p>
        </w:tc>
      </w:tr>
      <w:tr w14:paraId="0A29A6EC">
        <w:tblPrEx>
          <w:tblCellMar>
            <w:top w:w="0" w:type="dxa"/>
            <w:left w:w="108" w:type="dxa"/>
            <w:bottom w:w="0" w:type="dxa"/>
            <w:right w:w="108" w:type="dxa"/>
          </w:tblCellMar>
        </w:tblPrEx>
        <w:trPr>
          <w:trHeight w:val="791"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D2E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61FE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3058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4.规格、压力等级：φ31.8</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D59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D9A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101.704</w:t>
            </w:r>
          </w:p>
        </w:tc>
      </w:tr>
      <w:tr w14:paraId="232F629E">
        <w:tblPrEx>
          <w:tblCellMar>
            <w:top w:w="0" w:type="dxa"/>
            <w:left w:w="108" w:type="dxa"/>
            <w:bottom w:w="0" w:type="dxa"/>
            <w:right w:w="108" w:type="dxa"/>
          </w:tblCellMar>
        </w:tblPrEx>
        <w:trPr>
          <w:trHeight w:val="4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B40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8510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6B72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4.规格、压力等级：φ28.6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988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B74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931.34</w:t>
            </w:r>
          </w:p>
        </w:tc>
      </w:tr>
      <w:tr w14:paraId="44F5E81F">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B9B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F6E7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642C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4.规格、压力等级：φ25.4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51A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939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5.378</w:t>
            </w:r>
          </w:p>
        </w:tc>
      </w:tr>
      <w:tr w14:paraId="267E1BFD">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141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5FF6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28FF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4.规格、压力等级：φ22.2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695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2DA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122.48</w:t>
            </w:r>
          </w:p>
        </w:tc>
      </w:tr>
      <w:tr w14:paraId="7C99E2A3">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1FF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7A07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BB93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4.规格、压力等级：φ19.05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4F6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E51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234.45</w:t>
            </w:r>
          </w:p>
        </w:tc>
      </w:tr>
      <w:tr w14:paraId="7DB169FE">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C0C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C4D6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D8C8A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4.规格、压力等级：φ15.9</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816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12D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931.34</w:t>
            </w:r>
          </w:p>
        </w:tc>
      </w:tr>
      <w:tr w14:paraId="00845C93">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A32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6DA6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70A8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4.规格、压力等级：φ12.7</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C8E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694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291.14</w:t>
            </w:r>
          </w:p>
        </w:tc>
      </w:tr>
      <w:tr w14:paraId="4D1DC6BF">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234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1E87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3082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4.规格、压力等级：φ9.52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202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CED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468.25</w:t>
            </w:r>
          </w:p>
        </w:tc>
      </w:tr>
      <w:tr w14:paraId="7C9A7E28">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63B2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0BF9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脱氧亚磷无缝铜管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94FA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1.名称：脱脂铜管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3.材质：铜质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4.规格、压力等级：φ6.35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5.连接形式：承插银焊连接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6.压力试验及吹、洗设计要求：满足设计及相关规范要求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50E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F8F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280.276</w:t>
            </w:r>
          </w:p>
        </w:tc>
      </w:tr>
      <w:tr w14:paraId="3984F7B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97844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C4</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10CED4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通风工程</w:t>
            </w:r>
          </w:p>
        </w:tc>
      </w:tr>
      <w:tr w14:paraId="5CA78C0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23C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C656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设备基础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A8A1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1.名称：设备基础槽钢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2.规格：14#槽钢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eastAsia="zh-CN" w:bidi="ar"/>
              </w:rPr>
              <w:t>其他</w:t>
            </w:r>
            <w:r>
              <w:rPr>
                <w:rFonts w:hint="eastAsia" w:ascii="宋体" w:hAnsi="宋体" w:eastAsia="宋体" w:cs="宋体"/>
                <w:color w:val="auto"/>
                <w:kern w:val="0"/>
                <w:sz w:val="24"/>
                <w:szCs w:val="24"/>
                <w:highlight w:val="none"/>
                <w:lang w:bidi="ar"/>
              </w:rPr>
              <w:t>：含除锈及刷油防护</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A3F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463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w:t>
            </w:r>
          </w:p>
        </w:tc>
      </w:tr>
      <w:tr w14:paraId="6052A9F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D84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760F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排气扇</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A962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卫生间专用排气扇</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0EC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26D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7E6D24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150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E66E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直流变频分体式空调</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EBB5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1.名称：多联式变制冷剂流量空调器室外机SAC-BF-01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2.制冷量7.2kW，功率2.5kW，制热量8kW，功率2.6kW，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CF3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9B6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6BDA75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920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84C3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直流变频分体式空调</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F815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1.名称：多联式变制冷剂流量空调器室外机SAC-BF-01~08</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2.制冷量2.5kW，功率0.8kW，制热量2.8kW，功率0.8kW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4442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F43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0E108C4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17E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AC60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直流变频分体式空调</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2475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1.名称：多联式变制冷剂流量空调器室外机SAC-3F-01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2.制冷量8kW，功率2.5kW，制热量9kW，功率2.6kW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FCE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EA7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C8A289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9FB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0B7F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直流变频分体式空调</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7F3D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1.名称：多联式变制冷剂流量空调器室外机SAC-4F-01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2.制冷量14kW，功率4.2kW，制热量14.5kW，功率4.3kW，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68A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05D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035A958">
        <w:tblPrEx>
          <w:tblCellMar>
            <w:top w:w="0" w:type="dxa"/>
            <w:left w:w="108" w:type="dxa"/>
            <w:bottom w:w="0" w:type="dxa"/>
            <w:right w:w="108" w:type="dxa"/>
          </w:tblCellMar>
        </w:tblPrEx>
        <w:trPr>
          <w:trHeight w:val="22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E38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A856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净化通风镀锌钢板风管0.5mm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F6BA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1.名称：净化通风管道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5.板材厚度：δ0.5mm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6.管件、法兰等附件及支架设计要求：含管件、法兰及风管支吊架等附件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7.洁净度级别：≥6级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8.接口形式：咬口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9.镀锌钢板的镀锌层应在100号以上，双面三点试验平均值不应小于100g/m2，其表面不得有裂纹、结疤、划伤、不得有明显氧化层、针孔、麻点、起皮和镀锌层脱落等缺陷。</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75D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ECE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4406.543</w:t>
            </w:r>
          </w:p>
        </w:tc>
      </w:tr>
      <w:tr w14:paraId="04A9E2CC">
        <w:tblPrEx>
          <w:tblCellMar>
            <w:top w:w="0" w:type="dxa"/>
            <w:left w:w="108" w:type="dxa"/>
            <w:bottom w:w="0" w:type="dxa"/>
            <w:right w:w="108" w:type="dxa"/>
          </w:tblCellMar>
        </w:tblPrEx>
        <w:trPr>
          <w:trHeight w:val="22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3CE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6BF1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净化通风镀锌钢板风管0.6mm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328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1.名称：净化通风管道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≤450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5.板材厚度：δ0.6mm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6.管件、法兰等附件及支架设计要求：含管件、法兰及风管支吊架等附件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7.洁净度级别：≥6级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8.接口形式：咬口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9.镀锌钢板的镀锌层应在100号以上，双面三点试验平均值不应小于100g/m2，其表面不得有裂纹、结疤、划伤、不得有明显氧化层、针孔、麻点、起皮和镀锌层脱落等缺陷。</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523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647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897.008</w:t>
            </w:r>
          </w:p>
        </w:tc>
      </w:tr>
      <w:tr w14:paraId="5DF351E0">
        <w:tblPrEx>
          <w:tblCellMar>
            <w:top w:w="0" w:type="dxa"/>
            <w:left w:w="108" w:type="dxa"/>
            <w:bottom w:w="0" w:type="dxa"/>
            <w:right w:w="108" w:type="dxa"/>
          </w:tblCellMar>
        </w:tblPrEx>
        <w:trPr>
          <w:trHeight w:val="18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B99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C17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净化通风镀锌钢板风管0.75mm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A27C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1.名称：净化通风管道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5.板材厚度：δ0.75mm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6.管件、法兰等附件及支架设计要求：含管件、法兰及风管支吊架等附件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7.洁净度级别：≥6级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8.接口形式：咬口</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21FE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53B3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2569.911</w:t>
            </w:r>
          </w:p>
        </w:tc>
      </w:tr>
      <w:tr w14:paraId="49F6664A">
        <w:tblPrEx>
          <w:tblCellMar>
            <w:top w:w="0" w:type="dxa"/>
            <w:left w:w="108" w:type="dxa"/>
            <w:bottom w:w="0" w:type="dxa"/>
            <w:right w:w="108" w:type="dxa"/>
          </w:tblCellMar>
        </w:tblPrEx>
        <w:trPr>
          <w:trHeight w:val="22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32E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8F50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净化通风镀锌钢板风管1.0mm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6C16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1.名称：净化通风管道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≤1250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5.板材厚度：δ1.0mm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6.管件、法兰等附件及支架设计要求：含管件、法兰及风管支吊架等附件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7.洁净度级别：≥6级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8.接口形式：咬口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9.镀锌钢板的镀锌层应在100号以上，双面三点试验平均值不应小于100g/m2，其表面不得有裂纹、结疤、划伤、不得有明显氧化层、针孔、麻点、起皮和镀锌层脱落等缺陷。</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3EB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9B1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2698.185</w:t>
            </w:r>
          </w:p>
        </w:tc>
      </w:tr>
      <w:tr w14:paraId="25C4FF45">
        <w:tblPrEx>
          <w:tblCellMar>
            <w:top w:w="0" w:type="dxa"/>
            <w:left w:w="108" w:type="dxa"/>
            <w:bottom w:w="0" w:type="dxa"/>
            <w:right w:w="108" w:type="dxa"/>
          </w:tblCellMar>
        </w:tblPrEx>
        <w:trPr>
          <w:trHeight w:val="22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F53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A93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净化通风镀锌钢板风管1.2mm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AA037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1.名称：净化通风管道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≤2000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5.板材厚度：δ1.2mm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6.管件、法兰等附件及支架设计要求：型材制作安装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7.洁净度级别：≥6级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8.接口形式：咬口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9.镀锌钢板的镀锌层应在100号以上，双面三点试验平均值不应小于100g/m2，其表面不得有裂纹、结疤、划伤、不得有明显氧化层、针孔、麻点、起皮和镀锌层脱落等缺陷。</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232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CC3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19.524</w:t>
            </w:r>
          </w:p>
        </w:tc>
      </w:tr>
      <w:tr w14:paraId="54FA7A6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A1A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B3E0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不锈钢板通风管道0.5mm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FC8B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1.名称：不锈钢板风管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2.材质：不锈钢板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≤320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FF4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BAF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1647.45</w:t>
            </w:r>
          </w:p>
        </w:tc>
      </w:tr>
      <w:tr w14:paraId="2D901FE5">
        <w:tblPrEx>
          <w:tblCellMar>
            <w:top w:w="0" w:type="dxa"/>
            <w:left w:w="108" w:type="dxa"/>
            <w:bottom w:w="0" w:type="dxa"/>
            <w:right w:w="108" w:type="dxa"/>
          </w:tblCellMar>
        </w:tblPrEx>
        <w:trPr>
          <w:trHeight w:val="89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29A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71B8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不锈钢板通风管道0.75mm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490D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1.名称：不锈钢板风管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2.材质：不锈钢板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5.板材厚度：0.75mm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6.管件、法兰等附件及支架设计要求：含管件、法兰及风管支架等附件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7.接口形式：满足设计及规范要求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486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EF4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916.53</w:t>
            </w:r>
          </w:p>
        </w:tc>
      </w:tr>
      <w:tr w14:paraId="300A9BC9">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741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FDE7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不锈钢板通风管道1.0mm</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F9FF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1.名称：不锈钢板风管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2.材质：不锈钢板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4.规格：长边长（mm） ≤1250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5.板材厚度：1.0mm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6.管件、法兰等附件及支架设计要求：含管件、法兰及风管支架等附件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7.接口形式：满足设计及规范要求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F5B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634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262.8</w:t>
            </w:r>
          </w:p>
        </w:tc>
      </w:tr>
      <w:tr w14:paraId="700A7FD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9FF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9A7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0318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200*160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7C2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DF2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r>
      <w:tr w14:paraId="5CF9635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9EFA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DEF5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8258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250*200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111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B0DD3">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8</w:t>
            </w:r>
          </w:p>
        </w:tc>
      </w:tr>
      <w:tr w14:paraId="58D10D6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067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6AE9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6E53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320*160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4D0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CA2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59</w:t>
            </w:r>
          </w:p>
        </w:tc>
      </w:tr>
      <w:tr w14:paraId="14FC222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01C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585B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A358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320*200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157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4D2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w:t>
            </w:r>
          </w:p>
        </w:tc>
      </w:tr>
      <w:tr w14:paraId="3A7DDE1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FB9A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1776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9CCBC">
            <w:pPr>
              <w:widowControl/>
              <w:numPr>
                <w:ilvl w:val="0"/>
                <w:numId w:val="3"/>
              </w:numPr>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名称：变风量阀</w:t>
            </w:r>
          </w:p>
          <w:p w14:paraId="1E368DB8">
            <w:pPr>
              <w:widowControl/>
              <w:numPr>
                <w:ilvl w:val="0"/>
                <w:numId w:val="3"/>
              </w:numPr>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规格：变风量阀</w:t>
            </w:r>
            <w:r>
              <w:rPr>
                <w:rFonts w:hint="eastAsia" w:ascii="宋体" w:hAnsi="宋体" w:eastAsia="宋体" w:cs="宋体"/>
                <w:color w:val="auto"/>
                <w:kern w:val="0"/>
                <w:sz w:val="24"/>
                <w:szCs w:val="24"/>
                <w:highlight w:val="none"/>
                <w:lang w:val="en-US" w:eastAsia="zh-CN" w:bidi="ar"/>
              </w:rPr>
              <w:t>直径250，接管</w:t>
            </w:r>
            <w:r>
              <w:rPr>
                <w:rFonts w:hint="eastAsia" w:ascii="宋体" w:hAnsi="宋体" w:eastAsia="宋体" w:cs="宋体"/>
                <w:color w:val="auto"/>
                <w:kern w:val="0"/>
                <w:sz w:val="24"/>
                <w:szCs w:val="24"/>
                <w:highlight w:val="none"/>
                <w:lang w:bidi="ar"/>
              </w:rPr>
              <w:t>320*2</w:t>
            </w:r>
            <w:r>
              <w:rPr>
                <w:rFonts w:hint="eastAsia" w:ascii="宋体" w:hAnsi="宋体" w:eastAsia="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bidi="ar"/>
              </w:rPr>
              <w:t>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407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05B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bidi="ar"/>
              </w:rPr>
              <w:t>5</w:t>
            </w:r>
          </w:p>
        </w:tc>
      </w:tr>
      <w:tr w14:paraId="09D7F55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D82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FF3F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6EB7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直径250，接管</w:t>
            </w:r>
            <w:r>
              <w:rPr>
                <w:rFonts w:hint="eastAsia" w:ascii="宋体" w:hAnsi="宋体" w:eastAsia="宋体" w:cs="宋体"/>
                <w:color w:val="auto"/>
                <w:kern w:val="0"/>
                <w:sz w:val="24"/>
                <w:szCs w:val="24"/>
                <w:highlight w:val="none"/>
                <w:lang w:bidi="ar"/>
              </w:rPr>
              <w:t>400*200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CE84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7BF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460F90F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73C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5E4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46E3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直径250，接管</w:t>
            </w:r>
            <w:r>
              <w:rPr>
                <w:rFonts w:hint="eastAsia" w:ascii="宋体" w:hAnsi="宋体" w:eastAsia="宋体" w:cs="宋体"/>
                <w:color w:val="auto"/>
                <w:kern w:val="0"/>
                <w:sz w:val="24"/>
                <w:szCs w:val="24"/>
                <w:highlight w:val="none"/>
                <w:lang w:bidi="ar"/>
              </w:rPr>
              <w:t>400*250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4E3D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4F2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F06405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4B7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3D4D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239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直径315，接管</w:t>
            </w:r>
            <w:r>
              <w:rPr>
                <w:rFonts w:hint="eastAsia" w:ascii="宋体" w:hAnsi="宋体" w:eastAsia="宋体" w:cs="宋体"/>
                <w:color w:val="auto"/>
                <w:kern w:val="0"/>
                <w:sz w:val="24"/>
                <w:szCs w:val="24"/>
                <w:highlight w:val="none"/>
                <w:lang w:bidi="ar"/>
              </w:rPr>
              <w:t>400*320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A91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789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FEBF4F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E7A1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FD662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E529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直径250，接管</w:t>
            </w:r>
            <w:r>
              <w:rPr>
                <w:rFonts w:hint="eastAsia" w:ascii="宋体" w:hAnsi="宋体" w:eastAsia="宋体" w:cs="宋体"/>
                <w:color w:val="auto"/>
                <w:kern w:val="0"/>
                <w:sz w:val="24"/>
                <w:szCs w:val="24"/>
                <w:highlight w:val="none"/>
                <w:lang w:bidi="ar"/>
              </w:rPr>
              <w:t>500*160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4BB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B60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68A33E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7FC5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4FC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4487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直径315，接管</w:t>
            </w:r>
            <w:r>
              <w:rPr>
                <w:rFonts w:hint="eastAsia" w:ascii="宋体" w:hAnsi="宋体" w:eastAsia="宋体" w:cs="宋体"/>
                <w:color w:val="auto"/>
                <w:kern w:val="0"/>
                <w:sz w:val="24"/>
                <w:szCs w:val="24"/>
                <w:highlight w:val="none"/>
                <w:lang w:bidi="ar"/>
              </w:rPr>
              <w:t>500*200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CF7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DFB04">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5</w:t>
            </w:r>
          </w:p>
        </w:tc>
      </w:tr>
      <w:tr w14:paraId="5BAD86E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135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0FAF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6DFA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直径315，接管</w:t>
            </w:r>
            <w:r>
              <w:rPr>
                <w:rFonts w:hint="eastAsia" w:ascii="宋体" w:hAnsi="宋体" w:eastAsia="宋体" w:cs="宋体"/>
                <w:color w:val="auto"/>
                <w:kern w:val="0"/>
                <w:sz w:val="24"/>
                <w:szCs w:val="24"/>
                <w:highlight w:val="none"/>
                <w:lang w:bidi="ar"/>
              </w:rPr>
              <w:t>500*250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675B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B9481">
            <w:pPr>
              <w:widowControl/>
              <w:spacing w:line="360" w:lineRule="auto"/>
              <w:ind w:firstLine="120" w:firstLineChars="5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13</w:t>
            </w:r>
          </w:p>
        </w:tc>
      </w:tr>
      <w:tr w14:paraId="774E28A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E05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9ECD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8164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两阀并联2*φ315，接管</w:t>
            </w:r>
            <w:r>
              <w:rPr>
                <w:rFonts w:hint="eastAsia" w:ascii="宋体" w:hAnsi="宋体" w:eastAsia="宋体" w:cs="宋体"/>
                <w:color w:val="auto"/>
                <w:kern w:val="0"/>
                <w:sz w:val="24"/>
                <w:szCs w:val="24"/>
                <w:highlight w:val="none"/>
                <w:lang w:bidi="ar"/>
              </w:rPr>
              <w:t>500*320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74B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7481A">
            <w:pPr>
              <w:widowControl/>
              <w:spacing w:line="360" w:lineRule="auto"/>
              <w:ind w:firstLine="120" w:firstLineChars="5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10</w:t>
            </w:r>
          </w:p>
        </w:tc>
      </w:tr>
      <w:tr w14:paraId="6150878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9A1E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BF1C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2863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三阀并联3*φ315，接管</w:t>
            </w:r>
            <w:r>
              <w:rPr>
                <w:rFonts w:hint="eastAsia" w:ascii="宋体" w:hAnsi="宋体" w:eastAsia="宋体" w:cs="宋体"/>
                <w:color w:val="auto"/>
                <w:kern w:val="0"/>
                <w:sz w:val="24"/>
                <w:szCs w:val="24"/>
                <w:highlight w:val="none"/>
                <w:lang w:bidi="ar"/>
              </w:rPr>
              <w:t>630*320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58E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2BA80">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4</w:t>
            </w:r>
          </w:p>
        </w:tc>
      </w:tr>
      <w:tr w14:paraId="607504C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B4F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DB83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F179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w:t>
            </w:r>
            <w:r>
              <w:rPr>
                <w:rFonts w:hint="eastAsia" w:ascii="宋体" w:hAnsi="宋体" w:eastAsia="宋体" w:cs="宋体"/>
                <w:color w:val="auto"/>
                <w:kern w:val="0"/>
                <w:sz w:val="24"/>
                <w:szCs w:val="24"/>
                <w:highlight w:val="none"/>
                <w:lang w:val="en-US" w:eastAsia="zh-CN" w:bidi="ar"/>
              </w:rPr>
              <w:t>四阀并联4*φ315，接管</w:t>
            </w:r>
            <w:r>
              <w:rPr>
                <w:rFonts w:hint="eastAsia" w:ascii="宋体" w:hAnsi="宋体" w:eastAsia="宋体" w:cs="宋体"/>
                <w:color w:val="auto"/>
                <w:kern w:val="0"/>
                <w:sz w:val="24"/>
                <w:szCs w:val="24"/>
                <w:highlight w:val="none"/>
                <w:lang w:bidi="ar"/>
              </w:rPr>
              <w:t>630*400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C53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9A6AD">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1</w:t>
            </w:r>
          </w:p>
        </w:tc>
      </w:tr>
      <w:tr w14:paraId="2DC2ACA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1D5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5075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5D6B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四阀并联4*φ315，接管</w:t>
            </w:r>
            <w:r>
              <w:rPr>
                <w:rFonts w:hint="eastAsia" w:ascii="宋体" w:hAnsi="宋体" w:eastAsia="宋体" w:cs="宋体"/>
                <w:color w:val="auto"/>
                <w:kern w:val="0"/>
                <w:sz w:val="24"/>
                <w:szCs w:val="24"/>
                <w:highlight w:val="none"/>
                <w:lang w:bidi="ar"/>
              </w:rPr>
              <w:t>1000*400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2FA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B941C">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3</w:t>
            </w:r>
          </w:p>
        </w:tc>
      </w:tr>
      <w:tr w14:paraId="20DA98C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530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0F7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0E8E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250*160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F9E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697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B31958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4AD2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D08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FBF1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250*200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98E0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B94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309A64A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401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FDD0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A8C6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320*160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FB39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D82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3E2B1A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854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2C0F2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ACEB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直径250，接管</w:t>
            </w:r>
            <w:r>
              <w:rPr>
                <w:rFonts w:hint="eastAsia" w:ascii="宋体" w:hAnsi="宋体" w:eastAsia="宋体" w:cs="宋体"/>
                <w:color w:val="auto"/>
                <w:kern w:val="0"/>
                <w:sz w:val="24"/>
                <w:szCs w:val="24"/>
                <w:highlight w:val="none"/>
                <w:lang w:bidi="ar"/>
              </w:rPr>
              <w:t>400*200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2B8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C54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4A4A5A1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D12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FDF6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6CD4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320*160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EB0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043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1C227F5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892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8E03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7845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直径160，接管</w:t>
            </w:r>
            <w:r>
              <w:rPr>
                <w:rFonts w:hint="eastAsia" w:ascii="宋体" w:hAnsi="宋体" w:eastAsia="宋体" w:cs="宋体"/>
                <w:color w:val="auto"/>
                <w:kern w:val="0"/>
                <w:sz w:val="24"/>
                <w:szCs w:val="24"/>
                <w:highlight w:val="none"/>
                <w:lang w:bidi="ar"/>
              </w:rPr>
              <w:t>320*200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836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B6E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4CDC25F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A1F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B800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6E08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直径250，接管</w:t>
            </w:r>
            <w:r>
              <w:rPr>
                <w:rFonts w:hint="eastAsia" w:ascii="宋体" w:hAnsi="宋体" w:eastAsia="宋体" w:cs="宋体"/>
                <w:color w:val="auto"/>
                <w:kern w:val="0"/>
                <w:sz w:val="24"/>
                <w:szCs w:val="24"/>
                <w:highlight w:val="none"/>
                <w:lang w:bidi="ar"/>
              </w:rPr>
              <w:t>320*250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8C3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C8514">
            <w:pPr>
              <w:widowControl/>
              <w:spacing w:line="360" w:lineRule="auto"/>
              <w:ind w:firstLine="120" w:firstLineChars="5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71</w:t>
            </w:r>
          </w:p>
        </w:tc>
      </w:tr>
      <w:tr w14:paraId="3BE060D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D93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7C6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CF3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直径315，接管</w:t>
            </w:r>
            <w:r>
              <w:rPr>
                <w:rFonts w:hint="eastAsia" w:ascii="宋体" w:hAnsi="宋体" w:eastAsia="宋体" w:cs="宋体"/>
                <w:color w:val="auto"/>
                <w:kern w:val="0"/>
                <w:sz w:val="24"/>
                <w:szCs w:val="24"/>
                <w:highlight w:val="none"/>
                <w:lang w:bidi="ar"/>
              </w:rPr>
              <w:t>400*250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269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51155">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9</w:t>
            </w:r>
          </w:p>
        </w:tc>
      </w:tr>
      <w:tr w14:paraId="3950BDE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6988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2D2B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A150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直径315，接管</w:t>
            </w:r>
            <w:r>
              <w:rPr>
                <w:rFonts w:hint="eastAsia" w:ascii="宋体" w:hAnsi="宋体" w:eastAsia="宋体" w:cs="宋体"/>
                <w:color w:val="auto"/>
                <w:kern w:val="0"/>
                <w:sz w:val="24"/>
                <w:szCs w:val="24"/>
                <w:highlight w:val="none"/>
                <w:lang w:bidi="ar"/>
              </w:rPr>
              <w:t>500*250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A05D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CF464">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7</w:t>
            </w:r>
          </w:p>
        </w:tc>
      </w:tr>
      <w:tr w14:paraId="3788FE2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F69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E29B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18D0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w:t>
            </w:r>
            <w:r>
              <w:rPr>
                <w:rFonts w:hint="eastAsia" w:ascii="宋体" w:hAnsi="宋体" w:eastAsia="宋体" w:cs="宋体"/>
                <w:color w:val="auto"/>
                <w:kern w:val="0"/>
                <w:sz w:val="24"/>
                <w:szCs w:val="24"/>
                <w:highlight w:val="none"/>
                <w:lang w:val="en-US" w:eastAsia="zh-CN" w:bidi="ar"/>
              </w:rPr>
              <w:t>两阀并联2*φ315，接管</w:t>
            </w:r>
            <w:r>
              <w:rPr>
                <w:rFonts w:hint="eastAsia" w:ascii="宋体" w:hAnsi="宋体" w:eastAsia="宋体" w:cs="宋体"/>
                <w:color w:val="auto"/>
                <w:kern w:val="0"/>
                <w:sz w:val="24"/>
                <w:szCs w:val="24"/>
                <w:highlight w:val="none"/>
                <w:lang w:bidi="ar"/>
              </w:rPr>
              <w:t>500*320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EB90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3389A">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9</w:t>
            </w:r>
          </w:p>
        </w:tc>
      </w:tr>
      <w:tr w14:paraId="4448282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CAC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6ADE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3C74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三阀并联3*φ315，接管</w:t>
            </w:r>
            <w:r>
              <w:rPr>
                <w:rFonts w:hint="eastAsia" w:ascii="宋体" w:hAnsi="宋体" w:eastAsia="宋体" w:cs="宋体"/>
                <w:color w:val="auto"/>
                <w:kern w:val="0"/>
                <w:sz w:val="24"/>
                <w:szCs w:val="24"/>
                <w:highlight w:val="none"/>
                <w:lang w:bidi="ar"/>
              </w:rPr>
              <w:t>630*320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86A3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7C13A">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3</w:t>
            </w:r>
          </w:p>
        </w:tc>
      </w:tr>
      <w:tr w14:paraId="6715FD7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5FC07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704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机械定风量阀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E040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1.名称：机械定风量阀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2.规格：机械定风量阀</w:t>
            </w:r>
            <w:r>
              <w:rPr>
                <w:rFonts w:hint="eastAsia" w:ascii="宋体" w:hAnsi="宋体" w:eastAsia="宋体" w:cs="宋体"/>
                <w:color w:val="auto"/>
                <w:kern w:val="0"/>
                <w:sz w:val="24"/>
                <w:szCs w:val="24"/>
                <w:highlight w:val="none"/>
                <w:lang w:val="en-US" w:eastAsia="zh-CN" w:bidi="ar"/>
              </w:rPr>
              <w:t>四阀并联4*φ315，接管</w:t>
            </w:r>
            <w:r>
              <w:rPr>
                <w:rFonts w:hint="eastAsia" w:ascii="宋体" w:hAnsi="宋体" w:eastAsia="宋体" w:cs="宋体"/>
                <w:color w:val="auto"/>
                <w:kern w:val="0"/>
                <w:sz w:val="24"/>
                <w:szCs w:val="24"/>
                <w:highlight w:val="none"/>
                <w:lang w:bidi="ar"/>
              </w:rPr>
              <w:t>630*400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4BF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4AE6D">
            <w:pPr>
              <w:widowControl/>
              <w:spacing w:line="360" w:lineRule="auto"/>
              <w:ind w:firstLine="120" w:firstLineChars="5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4</w:t>
            </w:r>
          </w:p>
        </w:tc>
      </w:tr>
      <w:tr w14:paraId="1529370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60C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B30C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EA1F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2.规格：电动密闭调节阀250*160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99E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443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2802185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A6D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6345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3E78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2.规格：电动密闭调节阀320*160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500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4AB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4EE6BD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AA7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B632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94F7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2.规格：电动密闭调节阀320*200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5956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228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2A75640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1F5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9CC2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55D6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2.规格：电动密闭调节阀320*250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8F4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F003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4C20115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07B6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2695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6BF0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2.规格：电动密闭调节阀320*320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B60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4EA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F73CBD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B81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6239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28C4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2.规格：电动密闭调节阀400*160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FA6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CDD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DD45E1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670D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A7DE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8591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2.规格：电动密闭调节阀400*200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B08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6483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77400C9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E00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8442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C0FD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2.规格：电动密闭调节阀400*250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091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B8B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C0AA48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D04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D467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941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2.规格：电动密闭调节阀500*250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0EC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213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28C7ABF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A36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C9D8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6482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2.规格：电动密闭调节阀500*320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90D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C8A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32EBA7C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3DB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EB4D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1744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2.规格：电动密闭调节阀630*320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3C3F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956A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E4812B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A9C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A3E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5737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2.规格：电动密闭调节阀630*400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FE6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85E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243B472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910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5F7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020A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2.规格：电动密闭阀200*160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7A3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EEC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A32648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2A6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ACAEC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1972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2.规格：电动密闭阀320*160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86A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286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r>
      <w:tr w14:paraId="24A5B5C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11B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875F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54A0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2.规格：电动密闭阀320*200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589B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2F6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r>
      <w:tr w14:paraId="60E916B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DF4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0DE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AE9F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2.规格：电动密闭阀320*250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5E5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C73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r>
      <w:tr w14:paraId="61500F0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384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0590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218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2.规格：电动密闭阀400*250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05F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65B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48C1E7B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964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B6C7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D0FA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2.规格：电动密闭阀500*250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D9B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B83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866A70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A38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0B5E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5F48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2.规格：电动密闭阀500*250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4EB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F95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B04195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105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8988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01FF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2.规格：电动密闭阀630*320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5ED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392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A1DA9F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2B8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8FB7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电动密闭阀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E0D8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1.名称：电动密闭阀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2.规格：电动密闭阀630*400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BBF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CA8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694DDD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1F7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A0A1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70℃防火阀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E63E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1.名称：70℃防火阀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2.规格：防火阀630*250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0AE8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DCCA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314159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EFF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E70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70℃防火阀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8C42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1.名称：70℃防火阀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2.规格：防火阀800*400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AD9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C0F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E0958B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FF5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6C44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516B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2.规格：风管止回阀1250*500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7FB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04B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136AF5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56B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DD4F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891A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2.规格：风管止回阀250*160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663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1C2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8779A8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92F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6C2A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C42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2.规格：风管止回阀250*200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003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D61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587B91D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708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A668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3830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2.规格：风管止回阀250*250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E26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E75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33AA11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261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D9D8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51F5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2.规格：风管止回阀320*160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DB7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5D5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D3BB88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792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F69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4F46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2.规格：风管止回阀320*200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75D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DD1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CD480F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A02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6B7B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AC80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2.规格：风管止回阀400*200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ED6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67F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1BAC6C5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242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3894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6C2D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2.规格：风管止回阀500*250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861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0A9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097A815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6B5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4DE8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D5D6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2.规格：风管止回阀500*320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96E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2E3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45B0B2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8B9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9269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7BD9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2.规格：风管止回阀630*400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12D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2B3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F900A0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294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B49F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风管止回阀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7EFD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1.名称：风管止回阀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2.规格：风管止回阀800*400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5B6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98E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1C5764D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4A01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B6CB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253C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2.规格：200*160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6D2E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962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r>
      <w:tr w14:paraId="41AD127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82F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98FB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5BCC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2E4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7FB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0B8A2C9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242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E39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52A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2.规格：250*160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694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1F8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354</w:t>
            </w:r>
          </w:p>
        </w:tc>
      </w:tr>
      <w:tr w14:paraId="6EE3A9E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D08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47DB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9688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2.规格：250*200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957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496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427A687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DFA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5AB5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0CD4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2.规格：250*250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D46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EAB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7C4C8FF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6C9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4D8A4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62B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2.规格：320*160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505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5E8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165</w:t>
            </w:r>
          </w:p>
        </w:tc>
      </w:tr>
      <w:tr w14:paraId="3CC5B9F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9CF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BCAA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EE5E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2.规格：320*200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3963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B5D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r>
      <w:tr w14:paraId="2D3BC54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7F4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499B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EC25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2.规格：320*250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7F8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12E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w:t>
            </w:r>
          </w:p>
        </w:tc>
      </w:tr>
      <w:tr w14:paraId="7266A0D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E5F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1E71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194D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2.规格：400*160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A5D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A91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138</w:t>
            </w:r>
          </w:p>
        </w:tc>
      </w:tr>
      <w:tr w14:paraId="7FF2937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804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23D6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A7B2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2.规格：400*200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3EA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A6B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r>
      <w:tr w14:paraId="7FEA6F3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E74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D15C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1E88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2.规格：400*250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8BC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5C0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w:t>
            </w:r>
          </w:p>
        </w:tc>
      </w:tr>
      <w:tr w14:paraId="76E9F55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AE34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3010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CCF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2.规格：500*160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D56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675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60EA923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58E3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B929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4895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2.规格：500*200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48C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D4D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FB5A37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ED02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9E77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A625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2.规格：500*250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061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EA5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r>
      <w:tr w14:paraId="2FAE92D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F061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1F0F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5E1B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2.规格：500*320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721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F10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r>
      <w:tr w14:paraId="1CFE54E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66C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F863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C81B8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2.规格：630*250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930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DA2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C245B9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074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80AF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1F86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2.规格：630*400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64A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684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22D366A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163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0F5A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70A0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C4E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680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244D388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A13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2A51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F679D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2.规格：1000*400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CC6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CBF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123189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151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59DB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2E1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2.规格：1250*630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AD4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9FA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32D751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7039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B5E2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1CABF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2.规格：1250*500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974D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DD1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7FA2A75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92B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85A0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1663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2.规格：1600*630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2D9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F08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4A0794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139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D2AE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4A2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2.规格：1600*800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DF0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42B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D26180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AAA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B7C2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4731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2.规格：2000*800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5EC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421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450C34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80E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CC8CF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手动对开多叶调节阀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5784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1.名称：手动对开多叶调节阀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2.规格：2000*1000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300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05E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3C65A03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2788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095D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变风量阀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A19A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1.名称：变风量阀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2.规格：变风量阀400*160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2FC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DB49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68BB789">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C31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3AE7C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洁净送风天花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4D754">
            <w:pPr>
              <w:widowControl/>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1.名称：洁净送风天花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2600*1400；过滤器：满布高效过滤器（H13），面框：1.0厚钢板喷塑，颜色与手术室顶板颜色一致，箱体：1.0厚钢板喷涂，面板：双层DPP纱网=4块，法兰：2.0厚钢板喷涂（620*315），过滤器：915*610*70/610*610*70，无影灯安装孔：直径130圆孔。</w:t>
            </w:r>
          </w:p>
          <w:p w14:paraId="77B9224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注：1.所有接缝处喷塑后保持密封，并在接缝处打白色中性硅胶。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3A1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673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0FC555EF">
        <w:tblPrEx>
          <w:tblCellMar>
            <w:top w:w="0" w:type="dxa"/>
            <w:left w:w="108" w:type="dxa"/>
            <w:bottom w:w="0" w:type="dxa"/>
            <w:right w:w="108" w:type="dxa"/>
          </w:tblCellMar>
        </w:tblPrEx>
        <w:trPr>
          <w:trHeight w:val="56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541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502D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洁净送风天花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24CEB">
            <w:pPr>
              <w:widowControl/>
              <w:numPr>
                <w:ilvl w:val="0"/>
                <w:numId w:val="4"/>
              </w:numPr>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名称：洁净送风天花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2600*2400；过滤器：满布高效过滤器（H13），面框：1.0厚钢板喷塑，颜色与手术室顶板颜色一致，箱体：1.0厚钢板喷涂，面板：双层DPP纱网=4块，法兰：2.0厚钢板喷涂（620*315），过滤器：915*610*70/610*610*70，无影灯安装孔：直径130圆孔。</w:t>
            </w:r>
          </w:p>
          <w:p w14:paraId="57BB3FB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1.所有接缝处喷塑后保持密封，并在接缝处打白色中性硅胶</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2.组合箱体保持清洁，处于良好保护状态。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3.尺寸仅供参考，具体以实际到场设备为准。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0C0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9A8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8C5CD1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4F7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E278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高效送风口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1F4EC">
            <w:pPr>
              <w:widowControl/>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1.名称：高效送风口 S4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2.规格：型式：下换侧进风额定风量：500m3/h，设计参考风量：350m3/h，过滤等级：H13，过滤器尺寸：320*320*220（长*宽*高，mm），初阻力≤250（Pa），终阻力≤450（Pa）</w:t>
            </w:r>
          </w:p>
          <w:p w14:paraId="6CE74A4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D8E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162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12DE1026">
        <w:tblPrEx>
          <w:tblCellMar>
            <w:top w:w="0" w:type="dxa"/>
            <w:left w:w="108" w:type="dxa"/>
            <w:bottom w:w="0" w:type="dxa"/>
            <w:right w:w="108" w:type="dxa"/>
          </w:tblCellMar>
        </w:tblPrEx>
        <w:trPr>
          <w:trHeight w:val="47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2EC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7A78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高效送风口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524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1.名称：高效送风口 S7</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2.规格：型式：下换侧进风额定风量：1000m3/h，设计参考风量：700m3/h，过滤等级：H13，过滤器尺寸：</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484*484*220（长*宽*高，mm），初阻力≤250（Pa），终阻力≤450（Pa）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1F4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02E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165</w:t>
            </w:r>
          </w:p>
        </w:tc>
      </w:tr>
      <w:tr w14:paraId="0B92221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75B5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54FA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高效送风口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390F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1.名称：高效送风口 S10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CF5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F6D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r>
      <w:tr w14:paraId="16D4F1BC">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01E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E538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阻漏送风口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A8C5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1.名称：阻漏送风口 ZS6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2.规格：型式：下换侧进风额定风量1000m3/h，设计参考风量600m3/h，过滤等级：H10，过滤器尺寸：</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484*484*80（长*宽*高，mm）初阻力≤160（Pa），终阻力≤280（Pa）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8EC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EBD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99D5562">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19E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FB26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阻漏送风口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AE95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1.名称：阻漏送风口 ZS9</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2.规格：型式：下换侧进风额定风量1500m3/h，设计参考风量900m3/h，过滤等级：H10，过滤器尺寸：630*630*80（长*宽*高，mm）初阻力≤160（Pa），终阻力≤280（Pa），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07E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151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4ED8D10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E18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9054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带阀方形散流器风口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357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1.名称：带阀方形散流器 SD07</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2.规格：额定风量：700m3/h。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D3F9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238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r>
      <w:tr w14:paraId="5874950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EBA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4B40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带阀方形散流器风口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C14F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1.名称：带阀方形散流器 SD10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2.规格：额定风量：1000m3/h。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1B0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BD9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w:t>
            </w:r>
          </w:p>
        </w:tc>
      </w:tr>
      <w:tr w14:paraId="35CCC93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E42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A3B6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带阀方形散流器风口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CFD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1.名称：带阀方形散流器 SD13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2.规格：额定风量：1300m3/h。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E53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AE3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r>
      <w:tr w14:paraId="562ECF8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13F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FBE6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洁净排风口（带粗效过滤网/静压箱）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BE79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1.名称：洁净回排风口 CH05-C</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2.规格：额定风量：500m3/h，设计参考风量：450m3/h，含粗效过滤网。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0700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863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454</w:t>
            </w:r>
          </w:p>
        </w:tc>
      </w:tr>
      <w:tr w14:paraId="74D2A73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2A1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4FCC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洁净排风口（带粗效过滤网/静压箱）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C57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1.名称：洁净回排风口 CH10-C</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2.规格：额定风量：1000m3/h，设计参考风量：900m3/h，含粗效过滤网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3.满足图纸设计及建设功能使用需求，详见设计图纸及相关资料</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BDC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7E1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w:t>
            </w:r>
          </w:p>
        </w:tc>
      </w:tr>
      <w:tr w14:paraId="20972F3A">
        <w:tblPrEx>
          <w:tblCellMar>
            <w:top w:w="0" w:type="dxa"/>
            <w:left w:w="108" w:type="dxa"/>
            <w:bottom w:w="0" w:type="dxa"/>
            <w:right w:w="108" w:type="dxa"/>
          </w:tblCellMar>
        </w:tblPrEx>
        <w:trPr>
          <w:trHeight w:val="46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940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9E1D4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洁净排风口（带粗效过滤网）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B04F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1.名称：洁净回排风口 CH05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2.规格：额定风量：500m3/h，设计参考风量：450m3/h，含粗效过滤网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0A4A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D1E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r>
      <w:tr w14:paraId="06C4EDD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29F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951D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洁净排风口（带粗效过滤网）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3550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1.名称：洁净回排风口 CH10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2.规格：额定风量：1000m3/h，设计参考风量：900m3/h，含粗效过滤网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3.满足图纸设计及建设功能使用需求，详见设计图纸及相关资料</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013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BEC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r>
      <w:tr w14:paraId="489A60BF">
        <w:tblPrEx>
          <w:tblCellMar>
            <w:top w:w="0" w:type="dxa"/>
            <w:left w:w="108" w:type="dxa"/>
            <w:bottom w:w="0" w:type="dxa"/>
            <w:right w:w="108" w:type="dxa"/>
          </w:tblCellMar>
        </w:tblPrEx>
        <w:trPr>
          <w:trHeight w:val="423"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4D7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CEAD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洁净排风口（带粗效过滤网）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BC6A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1.名称：洁净回排风口 CH15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2.规格：额定风量：1500m3/h，设计参考风量：1300m3/h，含粗效过滤网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3.其他：详见设计图纸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177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3E7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1AFDDE4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B88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6227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旋流式送风口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82C5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1.名称：旋流式送风口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2.规格：φ400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35B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C65E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r>
      <w:tr w14:paraId="57A1529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162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B9E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门铰式百叶回风口，带过滤网）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4E382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1.名称：门铰式百叶回风口，带过滤网）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2.规格：600*400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F99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401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BA1FB8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F911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70B8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门铰式百叶回风口，带过滤网）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A286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1.名称：门铰式百叶回风口，带过滤网）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56C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0A4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AD156A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52F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31A2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门铰式百叶回风口，带过滤网）</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DF39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1.名称：门铰式百叶回风口，带过滤网）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2.规格：1200*600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9D6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3EB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A1D94F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A07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28F1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防雨百叶风口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3ECE0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1.名称：防雨百叶风口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2.规格：防雨百叶风口-1000*500-1000*500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6C5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1E82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1CC42A9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AAF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1477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防雨百叶风口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8AF5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1.名称：防雨百叶风口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2.规格：防雨百叶风口-1000*600-1000*600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6A1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A8A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7BE738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600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CF1F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防雨百叶风口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0B0C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1.名称：防雨百叶风口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2.规格：防雨百叶风口-3000*1200-3000*1200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64A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2F5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C83F6D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58C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0AFD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防雨百叶风口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9D6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1.名称：防雨百叶风口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2.规格：防雨百叶风口-400*400-400*400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3362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883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6D6C3DC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75C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8014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防雨百叶风口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8F5F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1.名称：防雨百叶风口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2.规格：防雨百叶风口-</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756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BA63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EDF0B5E">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C237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93B3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柔性接口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4321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1.名称：帆布软接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2.材质：B1级难燃绿色维纶防火帆布</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4.包含软接头支吊架制作安装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6AA5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7F4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22.156</w:t>
            </w:r>
          </w:p>
        </w:tc>
      </w:tr>
      <w:tr w14:paraId="15FBDFF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6C5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8211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微穿孔板消声器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F9DD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1.名称：微穿孔板消声器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2.规格：微穿孔板消声器-800*400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5EC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77A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470C94B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5A2E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4E07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消声弯头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794C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1.名称：消声弯头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2.规格：消声弯头-630*250*1000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1DF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608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5C2298C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F92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4CF3D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消声弯头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8DB1E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1.名称：消声弯头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2.规格：消声弯头-1250*500*1000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B34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650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35F6E07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82C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101C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消声弯头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052A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1.名称：消声弯头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2.规格：FT-1-2000*1000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2141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C134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7188CCE5">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B21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618A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导流片</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156B6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导流片</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86A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926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211.78</w:t>
            </w:r>
          </w:p>
        </w:tc>
      </w:tr>
      <w:tr w14:paraId="04EAE19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C36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2143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静压箱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A00C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1.名称：静压箱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2.规格：JYX-1-4200*1600*1200，54.72m²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1F0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914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22C7571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30B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8BCF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静压箱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CE7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1.名称：静压箱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2.规格：JYX-2-4200×1400×1200，25.2m²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ACF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EC9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5DC2621">
        <w:tblPrEx>
          <w:tblCellMar>
            <w:top w:w="0" w:type="dxa"/>
            <w:left w:w="108" w:type="dxa"/>
            <w:bottom w:w="0" w:type="dxa"/>
            <w:right w:w="108" w:type="dxa"/>
          </w:tblCellMar>
        </w:tblPrEx>
        <w:trPr>
          <w:trHeight w:val="377"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874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359E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静压箱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0C29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1.名称：静压箱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2.规格：JYX-3-3600×2800×1600，40.64m²</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3.支架形式、材质：满足设计及规范要求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D21C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53C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0BFECD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543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5568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静压箱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A16C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1.名称：静压箱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2.规格：JYX-4-3000×2400×2000，36m²</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3B1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205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F96A37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B04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B4DD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抗震支架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188A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2.管架形式：详见图纸给排水、消防抗震设计说明 ，需满足GB50981-2014《建筑机电工程抗震设计规范》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BE6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07C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390</w:t>
            </w:r>
          </w:p>
        </w:tc>
      </w:tr>
      <w:tr w14:paraId="0291CED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446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30B5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设备支架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102B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1.名称：设备支架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2.材质：型钢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883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F00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1760</w:t>
            </w:r>
          </w:p>
        </w:tc>
      </w:tr>
      <w:tr w14:paraId="2EB45AF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E81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872D1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不锈钢支吊架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5E7C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1.名称：不锈钢风管支吊架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2.其他详见设计图纸、招标文件及满足验收要求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4D9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FF3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2588.992</w:t>
            </w:r>
          </w:p>
        </w:tc>
      </w:tr>
      <w:tr w14:paraId="780B3A2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3430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A193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通风管道绝热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4923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1.名称：B1级闭孔式发泡橡塑保温板30mm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2。规格：30mm厚，难燃B1级闭孔式发泡橡塑保温板，导热系数〈0.034W/（m.K）</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80E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1B9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377.89</w:t>
            </w:r>
          </w:p>
        </w:tc>
      </w:tr>
      <w:tr w14:paraId="5926FD6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AC1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D2C4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通风管道绝热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8062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1.名称：B1级闭孔式发泡橡塑保温板40mm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2.规格：40mm厚，难燃B1级闭孔式发泡橡塑保温板，导热系数〈0.034W/（m.K）</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3.其他：满足设计及相关规范要求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74E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635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94.74</w:t>
            </w:r>
          </w:p>
        </w:tc>
      </w:tr>
      <w:tr w14:paraId="4300D36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C92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6818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防潮层、保护层</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D1E4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1.名称：防潮层、保护层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1.材料：铝皮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2.厚度：0.5mm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3.其他：未说明部分须满足使用功能、设计、施工及验收规范要求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F89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15A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2282.717</w:t>
            </w:r>
          </w:p>
        </w:tc>
      </w:tr>
      <w:tr w14:paraId="10BEDD3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3A58A3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37C3D77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实验室一体化供气系统设备采购和安装项目</w:t>
            </w:r>
          </w:p>
        </w:tc>
      </w:tr>
      <w:tr w14:paraId="373FA51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61A38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D1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82E37F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气体工程</w:t>
            </w:r>
          </w:p>
        </w:tc>
      </w:tr>
      <w:tr w14:paraId="6887147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248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2367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精密过滤器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CF6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1.材质：精密过滤器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A2D6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1471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73188F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B944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5F1B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气体减压阀 ∅25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E20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1.材质：不锈钢减压阀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F84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064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0A5EEFB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9C6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1FC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气体减压阀 ∅20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DFE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1.材质：不锈钢减压阀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B54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23F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6B4545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27C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FF51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气体球阀 ∅32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A9B9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1.材质：不锈钢球阀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A56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944F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3B7A99B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4A5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8B88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气体球阀 ∅25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E944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1.材质：不锈钢球阀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001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862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38CDB48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E76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4D9B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气体球阀 ∅14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935B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1.材质：不锈钢球阀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2.规格、压力等级：∅14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A4D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AD6E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23D151B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E0D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A03F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气体球阀 ∅10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27C4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1.材质：不锈钢球阀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7322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C58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w:t>
            </w:r>
          </w:p>
        </w:tc>
      </w:tr>
      <w:tr w14:paraId="423A1C5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1A5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6F37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压缩空气终端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D807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1.名称：压缩空气终端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2.气体种类：详见图纸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B5B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9EF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r>
      <w:tr w14:paraId="3694E5D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4DC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E38C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气体压力表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A8EC5F">
            <w:pPr>
              <w:widowControl/>
              <w:numPr>
                <w:ilvl w:val="0"/>
                <w:numId w:val="5"/>
              </w:numPr>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名称：气体压力表</w:t>
            </w:r>
          </w:p>
          <w:p w14:paraId="55DE58E2">
            <w:pPr>
              <w:widowControl/>
              <w:numPr>
                <w:ilvl w:val="0"/>
                <w:numId w:val="5"/>
              </w:numPr>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rPr>
              <w:t>弹簧式（波登管）压力表，精度等级不低于1.5级，表盘直径≥100mm，测量范围0~1.0MPa。白底黑标，玻璃罩保护，配备关断阀。表壳材质为304不锈钢材质。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190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19A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r>
      <w:tr w14:paraId="1D91298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EF4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87A2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气体止回装置 ∅32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813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1.材质：气体止回装置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7B9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11B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10D9AB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FFB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B04C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气体止回装置 ∅10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E7B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1.材质：气体止回装置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2.规格、压力等级：∅10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1A4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3FC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r>
      <w:tr w14:paraId="66F580D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04D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51E6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304不锈钢无缝管 ∅10*1.5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EFE5A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1.规格、压力等级：∅10*1.5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2.连接形式：焊接连接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5D86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CA2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504.87</w:t>
            </w:r>
          </w:p>
        </w:tc>
      </w:tr>
      <w:tr w14:paraId="62B1902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F48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E703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304不锈钢无缝管 ∅14*2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AE76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1.规格、压力等级：∅14*2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2.连接形式：焊接连接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2F7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0D9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36.6</w:t>
            </w:r>
          </w:p>
        </w:tc>
      </w:tr>
      <w:tr w14:paraId="34578DE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601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DA3C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304不锈钢无缝管 ∅20*2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5CF7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1.规格、压力等级：∅20*2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2.连接形式：焊接连接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AD2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35D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13.62</w:t>
            </w:r>
          </w:p>
        </w:tc>
      </w:tr>
      <w:tr w14:paraId="4A1D6FEE">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5915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8D09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304不锈钢无缝管 ∅25*2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D6AD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1.规格、压力等级：∅25*2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2.连接形式：焊接连接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319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B96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462.63</w:t>
            </w:r>
          </w:p>
        </w:tc>
      </w:tr>
      <w:tr w14:paraId="5F59EA7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CC4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8EEC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304不锈钢无缝管 ∅32*2.5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D63F7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1.规格、压力等级：∅32*2.5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2.连接形式：焊接连接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E37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FE4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8.22</w:t>
            </w:r>
          </w:p>
        </w:tc>
      </w:tr>
      <w:tr w14:paraId="2AEC383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CA0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388C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304不锈钢弯头 ∅32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2796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1.材质：304不锈钢大小头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34B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3BA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71533A4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317A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5F84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304不锈钢弯头 ∅25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7070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10E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0AC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48DE530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D10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95F2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304不锈钢弯头 ∅20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E186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77A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E5F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1EF89EFC">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065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7221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304不锈钢弯头 ∅15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39C9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9A7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A46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0E14307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AD3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80C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304不锈钢弯头 ∅10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3934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1.材质：304不锈钢大小头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493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1F8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r>
      <w:tr w14:paraId="10ABD84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C37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07A6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304不锈钢异径三通 ∅32/25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907F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2.规格：∅32/25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30D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EF3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19C326D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EAB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DA1B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304不锈钢异径三通 ∅25/20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7D76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2.规格：∅25/20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983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6DBD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244C33A5">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3A9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60D7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304不锈钢异径三通 ∅25/14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84E3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2.规格：∅25/14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3869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62A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95</w:t>
            </w:r>
          </w:p>
        </w:tc>
      </w:tr>
      <w:tr w14:paraId="597D7686">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257B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A069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304不锈钢异径三通 ∅20/14</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066D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2.规格：∅20/14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8D1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D45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r>
      <w:tr w14:paraId="3D20737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38C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42F2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304不锈钢异径三通 ∅14/10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23E2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2.规格：∅14/10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2EA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F02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E4097B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7E0A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7CFC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304不锈钢等径三通 ∅32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252C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2.规格：∅14/10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7F6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795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r>
      <w:tr w14:paraId="32F77A0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1B8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91E7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304不锈钢等径三通 ∅25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C264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2.规格：∅14/10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02F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D2C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6CA4765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464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F24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304不锈钢等径三通 ∅10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09D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1.材质：304不锈钢异径三通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2.规格：∅14/10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3.适用：压缩气体系统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4.氮气吹扫、气压试验、泄漏性试验分区分系统各一次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A25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1AE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3F57A81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B3B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8DFC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管道支架制作安装</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7461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1.材质：型钢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2.管架形式：含固定支架、滑动支架、抗震支架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A58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0A3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714.14</w:t>
            </w:r>
          </w:p>
        </w:tc>
      </w:tr>
      <w:tr w14:paraId="0FF1D1D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234E65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5D4B446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实验室成套污水处理设备采购及安装项目</w:t>
            </w:r>
          </w:p>
        </w:tc>
      </w:tr>
      <w:tr w14:paraId="61357DA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8655E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745F87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纯水系统</w:t>
            </w:r>
          </w:p>
        </w:tc>
      </w:tr>
      <w:tr w14:paraId="59AECEF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311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11D7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316L不锈钢管 DN32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6DA1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2.材质.规格：316L不锈钢管 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421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AFE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514.32</w:t>
            </w:r>
          </w:p>
        </w:tc>
      </w:tr>
      <w:tr w14:paraId="75C63EE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1616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C3F2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316L不锈钢管 DN25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5592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2.材质.规格：316L不锈钢管 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C99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E44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571.13</w:t>
            </w:r>
          </w:p>
        </w:tc>
      </w:tr>
      <w:tr w14:paraId="30BE6D04">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07D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F8E2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316L不锈钢管 DN15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DDF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2.材质.规格：316L不锈钢管 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7F3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04E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91.2</w:t>
            </w:r>
          </w:p>
        </w:tc>
      </w:tr>
      <w:tr w14:paraId="4CD7D60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D18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227F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73E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螺纹阀门安装 公称直径（mm以内） 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59F7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BCA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7C8662E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4E9B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50A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不锈钢U型管隔膜阀 DN15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958C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1.名称、规格：不锈钢U型管隔膜阀 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88DE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C02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279</w:t>
            </w:r>
          </w:p>
        </w:tc>
      </w:tr>
      <w:tr w14:paraId="0DEDE6D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744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93C4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不锈钢U型管隔膜阀 DN25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D637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1.名称、规格：不锈钢U型管隔膜阀 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13E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8BA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0D1EBB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2CAC4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E2</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805BC0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高温排水</w:t>
            </w:r>
          </w:p>
        </w:tc>
      </w:tr>
      <w:tr w14:paraId="53D1E97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66C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2C6D0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埋地碳钢降温池</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F619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FLK-4GP，总容积7.72m3，参考图纸23S519P114中GJW-4带温度传感器与冷却水及进水电磁阀</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104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54BE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1196665F">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05C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25EE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B9E0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3.介质：高温排水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1BD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C60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73.89</w:t>
            </w:r>
          </w:p>
        </w:tc>
      </w:tr>
      <w:tr w14:paraId="7F175514">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C0A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9D4F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C270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3.介质：高温排水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8C67A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B3EC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115.78</w:t>
            </w:r>
          </w:p>
        </w:tc>
      </w:tr>
      <w:tr w14:paraId="4E232E2F">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5F6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7DBD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无缝钢管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6A7D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3.介质：高温排水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499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C46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73.89</w:t>
            </w:r>
          </w:p>
        </w:tc>
      </w:tr>
      <w:tr w14:paraId="12CF7A7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083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8444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8268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2.介质管道：DN80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206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2A4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54E473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4E3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601B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E67C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2.介质管道：DN150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429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333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94AC9E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65833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E3</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2F80D4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废水处理</w:t>
            </w:r>
          </w:p>
        </w:tc>
      </w:tr>
      <w:tr w14:paraId="11EB3BE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905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43C1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自动搅匀排水潜污泵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75E1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JYWQ65-25-14-2.2 Q=253m/h H=14m N=2.2</w:t>
            </w:r>
            <w:r>
              <w:rPr>
                <w:rFonts w:hint="eastAsia" w:ascii="宋体" w:hAnsi="宋体" w:eastAsia="宋体" w:cs="宋体"/>
                <w:color w:val="auto"/>
                <w:kern w:val="0"/>
                <w:sz w:val="24"/>
                <w:szCs w:val="24"/>
                <w:highlight w:val="none"/>
                <w:lang w:eastAsia="zh-CN" w:bidi="ar"/>
              </w:rPr>
              <w:t>kW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E18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C83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401303D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15B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DCAC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自动搅匀排水潜污泵</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355F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JYWQ65-25-14-2.2 Q=253m/h H=14m N=2.2</w:t>
            </w:r>
            <w:r>
              <w:rPr>
                <w:rFonts w:hint="eastAsia" w:ascii="宋体" w:hAnsi="宋体" w:eastAsia="宋体" w:cs="宋体"/>
                <w:color w:val="auto"/>
                <w:kern w:val="0"/>
                <w:sz w:val="24"/>
                <w:szCs w:val="24"/>
                <w:highlight w:val="none"/>
                <w:lang w:eastAsia="zh-CN" w:bidi="ar"/>
              </w:rPr>
              <w:t>kW</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DCE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992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5F5A2F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434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A202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成套污水处理装置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644E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成套污水处理装置</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BD1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EB2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2085CA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7B4AA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D4</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D52209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软水系统</w:t>
            </w:r>
          </w:p>
        </w:tc>
      </w:tr>
      <w:tr w14:paraId="7F78A2B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34E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B5B4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S30408薄壁不锈钢管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8A00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2.材质.规格：S30408薄壁不锈钢管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D725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3D7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76.1</w:t>
            </w:r>
          </w:p>
        </w:tc>
      </w:tr>
      <w:tr w14:paraId="657EDF8D">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186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714A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S30408薄壁不锈钢管 DN32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AD62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2.材质.规格：S30408薄壁不锈钢管 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48B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F63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67.25</w:t>
            </w:r>
          </w:p>
        </w:tc>
      </w:tr>
      <w:tr w14:paraId="4DAC3D9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D54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12AA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S30408薄壁不锈钢管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6043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2.材质.规格：S30408薄壁不锈钢管 DN20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ACC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A52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14.69</w:t>
            </w:r>
          </w:p>
        </w:tc>
      </w:tr>
      <w:tr w14:paraId="5E0D0F6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B81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BA32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成套软水机组</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DADD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成套软水机组</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F92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4F1B6">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46E513AB">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FDB80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D5</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DB1586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给水系统</w:t>
            </w:r>
          </w:p>
        </w:tc>
      </w:tr>
      <w:tr w14:paraId="3223E5E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16C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2EB1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防火堵洞</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1BDF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1.名称：防火封堵</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2.材质：防火堵料</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3.部位：管道在穿越防火隔墙、楼板和防火墙处的孔隙应采用防火封堵材料封堵。</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330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10C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r>
      <w:tr w14:paraId="3D72FDAC">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9BC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D883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内外热镀锌钢管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C0EB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3.介质：给水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574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A37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26.41</w:t>
            </w:r>
          </w:p>
        </w:tc>
      </w:tr>
      <w:tr w14:paraId="77A9B9AD">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35C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9405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内外热镀锌钢管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91E1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3.介质：给水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1A3A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764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50.4</w:t>
            </w:r>
          </w:p>
        </w:tc>
      </w:tr>
      <w:tr w14:paraId="13B83A43">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B2D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11EF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内外热镀锌钢管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86EE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1.名称：焊接钢管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3.介质：给水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5.连接形式：焊接连接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43A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848A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65.6</w:t>
            </w:r>
          </w:p>
        </w:tc>
      </w:tr>
      <w:tr w14:paraId="42BF41A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974D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2637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29AA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7757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4259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140.83</w:t>
            </w:r>
          </w:p>
        </w:tc>
      </w:tr>
      <w:tr w14:paraId="441068A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826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85F7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DN80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024B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305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2EA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32.92</w:t>
            </w:r>
          </w:p>
        </w:tc>
      </w:tr>
      <w:tr w14:paraId="7E46431C">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251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37DD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DN65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5213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DN63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9E2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C755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16.74</w:t>
            </w:r>
          </w:p>
        </w:tc>
      </w:tr>
      <w:tr w14:paraId="565939CC">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ACB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F049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0870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AD7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56D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216.73</w:t>
            </w:r>
          </w:p>
        </w:tc>
      </w:tr>
      <w:tr w14:paraId="1C623150">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3CC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FB17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DN40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AA05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C6D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7F3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61.32</w:t>
            </w:r>
          </w:p>
        </w:tc>
      </w:tr>
      <w:tr w14:paraId="6A465A7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49F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28BBA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FB1E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81A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F85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35.46</w:t>
            </w:r>
          </w:p>
        </w:tc>
      </w:tr>
      <w:tr w14:paraId="0FB05CED">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3474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5F54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D20C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09A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08D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69.65</w:t>
            </w:r>
          </w:p>
        </w:tc>
      </w:tr>
      <w:tr w14:paraId="00B3E7F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03E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0DAC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PPR管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8926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2.材质.规格：PPR管 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5A9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6215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558.54</w:t>
            </w:r>
          </w:p>
        </w:tc>
      </w:tr>
      <w:tr w14:paraId="349CD81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DE7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144A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管道支架制作安装</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43D0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1.材质：型钢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2.管架形式：含固定支架、滑动支架、抗震支架、保温木哈夫费用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5AA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F54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165.5</w:t>
            </w:r>
          </w:p>
        </w:tc>
      </w:tr>
      <w:tr w14:paraId="019F4ED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C2BE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AE5C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2F425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B7F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017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E8D721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728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DF8F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7F5E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2.介质管道：DN80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80D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317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8A250D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053A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6DF4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E61A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2.介质管道：DN100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EF0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49D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0680197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F6C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742D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8644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2.介质管道：DN150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D70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79E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3491F8B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CF1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742D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5D5E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2.介质管道：DN200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32B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833A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5818D41C">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890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C8C45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阻火圈</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C605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1.名称、类型：排水阻火圈</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E3B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EB1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r>
      <w:tr w14:paraId="429A274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9F5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0DF3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橡胶软接头 DN80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012B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1.名称：橡胶软接头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FA7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705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79B8839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3F4D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65C2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防污隔断阀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78D4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1.名称、规格：防污隔断阀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6C0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676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3595153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5EA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5D77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防污隔断阀 DN40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7EE2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1.名称、规格：防污隔断阀 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FAB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539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B603DB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3D2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D7E7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防污隔断阀 DN32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2077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1.名称、规格：防污隔断阀 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F709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FD0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D82057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18F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45C7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防污隔断阀 DN25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3523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1.名称、规格：防污隔断阀 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7A0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C3B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2AA255E">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116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3274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F785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1.名称、规格：球阀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FBE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35E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6FAA577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217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711B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 DN40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4D54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1.名称、规格：球阀 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1117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A33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E93D04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750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E3CF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 DN32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1330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1.名称、规格：球阀 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D07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A36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23E6AA0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82A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6F5A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 DN25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CE0D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1.名称、规格：球阀 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4EC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B99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r>
      <w:tr w14:paraId="7C3CE11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653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6DDF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5267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1.名称、规格：球阀 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9C46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9A5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r>
      <w:tr w14:paraId="4AEDC0E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024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1C13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球阀 DN15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4205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1.名称、规格：球阀 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D4C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287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r>
      <w:tr w14:paraId="43B2D15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38E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4977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闸阀 DN80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4283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1.名称、规格：闸阀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B3F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3D6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0FEE5E6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1FF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D95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闸阀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8E25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1.名称、规格：闸阀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0E6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1974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43EEF0C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A1C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5F5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 DN80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BA4F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1.名称、规格：止回阀 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FA3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5F8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7E3DFD6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CF11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544F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 DN25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57B2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1.名称、规格：止回阀 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E4A4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A64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58D2043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D3C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85267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70E8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1.名称、规格：止回阀 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22E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621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2B3F3A6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692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A2D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止回阀 DN15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DB2C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1.名称、规格：带真空破坏器的水龙头 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AFE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2E3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4AC41C2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B5C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07E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自动排气阀 DN25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988B7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1.名称、规格：自动排气阀 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F49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07A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3E9A444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BFF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DA5B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自动排气阀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7F6D8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1.名称、规格：自动排气阀 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E198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544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DD1B18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D64A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FCA5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手动排气阀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4A9B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1.名称、规格：自动排气阀 DN20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1A4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351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w:t>
            </w:r>
          </w:p>
        </w:tc>
      </w:tr>
      <w:tr w14:paraId="0267A4C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7AB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877B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带真空破坏器的水龙头 DN20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C5A4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1.名称、规格：止回阀 DN15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D44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5D19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r>
      <w:tr w14:paraId="6AF73F2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3143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A078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洗脸盆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7F38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洗脸盆 台式 单嘴</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B86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94AF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47B5D21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F52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5F8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成品拖布池</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7AAB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成品拖布池</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4475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8A8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31B8430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A12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9FA6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大便器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9D03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蹲式大便器安装 低水箱</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AE07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CBB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50775B4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8D20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88E0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小便器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811C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壁挂式小便器安装 感应开关 埋入式</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11A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3B4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3CE51DD9">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C63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398F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淋浴器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6B9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成套淋浴器安装 手动开关 冷热水</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BBA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8CC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6835970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1E2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305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水表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14DD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1.名称、规格：水表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B3D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0F6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63C8634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45E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06EE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水表 DN40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CE0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1.名称、规格：水表 D40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331A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DB0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28C006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BAE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A759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92DA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1.名称、规格：减压阀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AA64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F14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r>
      <w:tr w14:paraId="69911A9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F20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D00C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减压阀 DN40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4129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1.名称、规格：减压阀 D40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415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2FC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3D3934D">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500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C05A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清扫口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0315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1.名称、规格：清扫口</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3BE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035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w:t>
            </w:r>
          </w:p>
        </w:tc>
      </w:tr>
      <w:tr w14:paraId="6C9579D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202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6033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不锈钢地漏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D368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1.名称、规格：不锈钢地漏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3.材质：不锈钢</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990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194D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r>
      <w:tr w14:paraId="277D3B3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903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21C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不锈钢地漏 DN75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14FE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1.名称、规格：不锈钢地漏 DN75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3.材质：不锈钢</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EC1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200D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r>
      <w:tr w14:paraId="0A8E9F8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918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3F57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不锈钢地漏 DN160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0C05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1.名称、规格：不锈钢地漏 DN160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3.材质：不锈钢</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FEF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3B05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91</w:t>
            </w:r>
          </w:p>
        </w:tc>
      </w:tr>
      <w:tr w14:paraId="2B281D1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8E4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BD1E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容积式电热水器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8726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3kW 80L，国优，含漏电及超温保护</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4C3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B4E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33CCE36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331B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1F85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不锈钢清洗池</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B1E3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304不锈钢，1500x800x800（H）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04D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1C6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1DEDCAE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975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A0F4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不锈钢存水弯 DN50</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255F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1.名称、规格：不锈钢存水弯 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3.材质：不锈钢</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A88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308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w:t>
            </w:r>
          </w:p>
        </w:tc>
      </w:tr>
      <w:tr w14:paraId="76BAB92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E41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07B2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不锈钢存水弯 DN75</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3B88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1.名称、规格：不锈钢存水弯 DN75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2.其他技术要求参照图纸，满足施工及验收5关规范要求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3.材质：不锈钢</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776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599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321A95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E2FC6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D6</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E0BE2C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污水系统</w:t>
            </w:r>
          </w:p>
        </w:tc>
      </w:tr>
      <w:tr w14:paraId="07AFD0FC">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213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34196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1931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3.介质：污水系统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4.规格、压力等级：De63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7A3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4CC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2.82</w:t>
            </w:r>
          </w:p>
        </w:tc>
      </w:tr>
      <w:tr w14:paraId="7CA2CAE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701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C8A9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B8A1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71A0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C61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85.07</w:t>
            </w:r>
          </w:p>
        </w:tc>
      </w:tr>
      <w:tr w14:paraId="05883612">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E43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0760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591B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3.介质：污水系统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F30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642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33.57</w:t>
            </w:r>
          </w:p>
        </w:tc>
      </w:tr>
      <w:tr w14:paraId="7C678EA1">
        <w:tblPrEx>
          <w:tblCellMar>
            <w:top w:w="0" w:type="dxa"/>
            <w:left w:w="108" w:type="dxa"/>
            <w:bottom w:w="0" w:type="dxa"/>
            <w:right w:w="108" w:type="dxa"/>
          </w:tblCellMar>
        </w:tblPrEx>
        <w:trPr>
          <w:trHeight w:val="8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C7D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32C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7FE8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3.介质：污水系统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D35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B8D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299.13</w:t>
            </w:r>
          </w:p>
        </w:tc>
      </w:tr>
      <w:tr w14:paraId="56959C16">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A76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E31F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D156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3.介质：污水系统</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4.规格、压力等级：De75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0911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E12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37.48</w:t>
            </w:r>
          </w:p>
        </w:tc>
      </w:tr>
      <w:tr w14:paraId="47F0BC86">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A2AD3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D7</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1420DC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废水系统</w:t>
            </w:r>
          </w:p>
        </w:tc>
      </w:tr>
      <w:tr w14:paraId="35A191CC">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C8C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AA0C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0644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3.介质：废水系统、通气管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DBF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755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1.56</w:t>
            </w:r>
          </w:p>
        </w:tc>
      </w:tr>
      <w:tr w14:paraId="1B1A8BF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D7E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DA50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036F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182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110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127.02</w:t>
            </w:r>
          </w:p>
        </w:tc>
      </w:tr>
      <w:tr w14:paraId="61148693">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DDE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A3D3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07E4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3.介质：废水系统、通气管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4.规格、压力等级：De75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99C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16A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104.26</w:t>
            </w:r>
          </w:p>
        </w:tc>
      </w:tr>
      <w:tr w14:paraId="24534495">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4F47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2EC7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E0D5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3.介质：废水系统、通气管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4.规格、压力等级：De110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434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322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215.21</w:t>
            </w:r>
          </w:p>
        </w:tc>
      </w:tr>
      <w:tr w14:paraId="0F1C1217">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3DB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2171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5A65A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3.介质：废水系统、通气管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4.规格、压力等级：De160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A4D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3CC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6.68</w:t>
            </w:r>
          </w:p>
        </w:tc>
      </w:tr>
      <w:tr w14:paraId="4E7F6FAE">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260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7F92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HDPE实壁管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198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1.名称：HDPE实壁管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3.介质：废水系统、通气管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4.规格、压力等级：De200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5.连接形式：热熔连接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6.警示带形式：满足设计及相关规范要求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7.其他：含管件及管件安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D78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B20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67.95</w:t>
            </w:r>
          </w:p>
        </w:tc>
      </w:tr>
      <w:tr w14:paraId="14D2599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28D734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六</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570E3C4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动物房实验室装配式设施采购及安装项目</w:t>
            </w:r>
          </w:p>
        </w:tc>
      </w:tr>
      <w:tr w14:paraId="056B222A">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4CFBA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C9B3D2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楼地面工程</w:t>
            </w:r>
          </w:p>
        </w:tc>
      </w:tr>
      <w:tr w14:paraId="3AA0AA03">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C4889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24BB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2mm硬塑同质透心PVC地板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699B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1）2mm厚同质透心 PVC地板 PVC在洁净区转角处应做成圆弧R=30接缝严密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2）3m厚水泥基自流平，强度达标后表面进行修补打磨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3）找平层 50厚c25细石混凝土内配中4@160成品钢筋网（随捣随抹平）随捣随抹平，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4.每5米设缝，密封胶嵌缝</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5）水泥浆一道（同掺建筑胶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6）550mm厚LC7.5轻集料混凝土回填层（此道做法用于1F手术区）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7）建筑楼板</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3C4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0E2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176.71</w:t>
            </w:r>
          </w:p>
        </w:tc>
      </w:tr>
      <w:tr w14:paraId="702ED70F">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BB4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8212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2mm硬塑同质透心PVC地板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E88E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1）2mm厚复合结构 PVC在洁净区转角处应做成圆弧R=30接缝严密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2）3m厚水泥基自流平，强度达标后表面进行修补打磨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3）找平层 50厚c25细石混凝土内配中4@160成品钢筋网（随捣随抹平）随捣随抹平，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4.每5米设缝，密封胶嵌缝</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5）水泥浆一道（同掺建筑胶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6）建筑楼板</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11B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4BD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2712.94</w:t>
            </w:r>
          </w:p>
        </w:tc>
      </w:tr>
      <w:tr w14:paraId="5605913A">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48B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DE37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硬塑PVC地板（B1级）（磁屏蔽防护地面）</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A867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1）2mm厚PVC地板在洁净区转角处应做成圆弧R=30接缝严密（基层面涂防静电地板胶粘合剂）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2）2mm厚水泥自流平，强度达标后表面进行修补打磨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3）45mm厚C30细石混凝土找平层内配φ8@150成品钢筋网（随捣随抹平）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4）15mm*2欧松板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5）铺设3mmPVC板绝缘层，上铺0.5mm紫铜板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6）上铺双层各2mm厚SBS改性沥青防水卷材（上墙1m）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10F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2E0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25.01</w:t>
            </w:r>
          </w:p>
        </w:tc>
      </w:tr>
      <w:tr w14:paraId="701EB5FE">
        <w:tblPrEx>
          <w:tblCellMar>
            <w:top w:w="0" w:type="dxa"/>
            <w:left w:w="108" w:type="dxa"/>
            <w:bottom w:w="0" w:type="dxa"/>
            <w:right w:w="108" w:type="dxa"/>
          </w:tblCellMar>
        </w:tblPrEx>
        <w:trPr>
          <w:trHeight w:val="827"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6F71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1364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3.2mm环氧刚玉地坪</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2F36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规格详见本章“主要设备技术参数及要求”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BC97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C30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575.17</w:t>
            </w:r>
          </w:p>
        </w:tc>
      </w:tr>
      <w:tr w14:paraId="6EFB8F76">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691F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9D72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3.2mm环氧刚玉地坪</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2586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规格详见本章“主要设备技术参数及要求”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CAB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DAA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1368.49</w:t>
            </w:r>
          </w:p>
        </w:tc>
      </w:tr>
      <w:tr w14:paraId="04878172">
        <w:tblPrEx>
          <w:tblCellMar>
            <w:top w:w="0" w:type="dxa"/>
            <w:left w:w="108" w:type="dxa"/>
            <w:bottom w:w="0" w:type="dxa"/>
            <w:right w:w="108" w:type="dxa"/>
          </w:tblCellMar>
        </w:tblPrEx>
        <w:trPr>
          <w:trHeight w:val="353"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F55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D5A4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3mm水性聚氨酯砂浆地坪（A级）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E78F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1）环氧树脂涂料罩面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2）2厚水性环氧砂浆自流平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3）环氧底涂（界面渗透）</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4）50厚c25细石混凝士内配φ4@160成品钢筋网（随</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643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1AF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784.4</w:t>
            </w:r>
          </w:p>
        </w:tc>
      </w:tr>
      <w:tr w14:paraId="12BB0FB9">
        <w:tblPrEx>
          <w:tblCellMar>
            <w:top w:w="0" w:type="dxa"/>
            <w:left w:w="108" w:type="dxa"/>
            <w:bottom w:w="0" w:type="dxa"/>
            <w:right w:w="108" w:type="dxa"/>
          </w:tblCellMar>
        </w:tblPrEx>
        <w:trPr>
          <w:trHeight w:val="603"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5E7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CB1B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防滑地砖地面（600*600*10mm）（A级）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2EC4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1）10mm厚防滑地砖，干水泥擦缝</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2）20厚Ds干硬性水泥砂浆结合层，表面撒水泥粉</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3）3.0厚水性聚合物水泥砂浆防水层（两道）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4）最薄处30厚c20细石混凝土找坡层抹平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5）水泥浆一道（内掺建筑胶）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6）结构层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966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AFE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1782.84</w:t>
            </w:r>
          </w:p>
        </w:tc>
      </w:tr>
      <w:tr w14:paraId="60724C47">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BBA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54C9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防静电架空活动地面（600*600*15mm）（B1）</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C7F9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1）防静电活动地板（架空高度600*600，H=250）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2）20mm厚DS20水泥砂浆找平层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3）结构层（详见建筑图）</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8E2E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20E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65.84</w:t>
            </w:r>
          </w:p>
        </w:tc>
      </w:tr>
      <w:tr w14:paraId="4C8CE401">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41F2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62E4D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仿石纹玻化砖地面（800*800*12mm）（A级）</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5F39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1）10mm厚防滑地砖，干水泥擦缝</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2）20厚Ds干硬性水泥砂浆结合层，表面撒水泥粉</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3）1.5厚水性聚合物水泥砂浆防水层（两道）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4）最薄处30厚c20细石混凝土找坡层抹平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5）水泥浆一道（内掺建筑胶）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6）结构层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65D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EC89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191.62</w:t>
            </w:r>
          </w:p>
        </w:tc>
      </w:tr>
      <w:tr w14:paraId="36EFA15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AE545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F2</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4AE958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天棚工程</w:t>
            </w:r>
          </w:p>
        </w:tc>
      </w:tr>
      <w:tr w14:paraId="22B768E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447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9980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50mm抗腐蚀手工岩棉石膏彩钢板吊顶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0D3A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1）吊顶组成：钢板+9.5mm石膏板+内嵌≥100kg/m³岩棉+9.5mm石膏板+0.5mm钢板（喷单面氟碳涂层，防抗过氧化氢腐蚀）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2）彩钢板吊顶专用中字铝吊梁龙骨与方形调节器用型螺丝连接，间距600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3）方形调节器用MI0法兰螺母与MI0牙爆杆连接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4）M10镀锌钢筋吊杆与M10的膨胀爆栓固定</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350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C6E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5253.42</w:t>
            </w:r>
          </w:p>
        </w:tc>
      </w:tr>
      <w:tr w14:paraId="10CBCEE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BEC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82B8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硅钙板吊顶（600*600*12mm ）</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841B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1）600*600#12mm硅钙板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2）c型轻钢次龙骨间距 600mm与主龙骨插接根据要求更换可上人龙骨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3）c型轻钢主龙骨间距 600m用吊件与吊杆联结后找平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4）8#镀锌钢筋吊杆（可上人为8#全牙钢筋吊杆）双向中距≤1200与M8*80拉爆螺栓与楼板固定</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14D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2FF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163.69</w:t>
            </w:r>
          </w:p>
        </w:tc>
      </w:tr>
      <w:tr w14:paraId="6A2DD3CB">
        <w:tblPrEx>
          <w:tblCellMar>
            <w:top w:w="0" w:type="dxa"/>
            <w:left w:w="108" w:type="dxa"/>
            <w:bottom w:w="0" w:type="dxa"/>
            <w:right w:w="108" w:type="dxa"/>
          </w:tblCellMar>
        </w:tblPrEx>
        <w:trPr>
          <w:trHeight w:val="54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FB0D3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E2B7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铝扣板吊顶（600*600*1.0mm ）</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6B61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1）600*600*1.0mm铝合金扣板与配套专用龙骨固定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2）350*350*0.35*0.35mm 三角龙骨中距600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3）U型轻钢主龙骨 CS50*15*1.2mm，中距≤1200，找平后与钢筋吊杆</w:t>
            </w:r>
            <w:r>
              <w:rPr>
                <w:rFonts w:hint="eastAsia" w:ascii="宋体" w:hAnsi="宋体" w:eastAsia="宋体" w:cs="宋体"/>
                <w:color w:val="auto"/>
                <w:kern w:val="0"/>
                <w:sz w:val="24"/>
                <w:szCs w:val="24"/>
                <w:highlight w:val="none"/>
                <w:lang w:eastAsia="zh-CN" w:bidi="ar"/>
              </w:rPr>
              <w:t>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4）8钢筋吊杆双向吊点中距1200吊杆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5）8号钢筋吊杆，采用M8拉爆与钢筋混凝土板固定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6）现浇钢筋混凝土楼板</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2A2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4D7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1211.08</w:t>
            </w:r>
          </w:p>
        </w:tc>
      </w:tr>
      <w:tr w14:paraId="01FBACB1">
        <w:tblPrEx>
          <w:tblCellMar>
            <w:top w:w="0" w:type="dxa"/>
            <w:left w:w="108" w:type="dxa"/>
            <w:bottom w:w="0" w:type="dxa"/>
            <w:right w:w="108" w:type="dxa"/>
          </w:tblCellMar>
        </w:tblPrEx>
        <w:trPr>
          <w:trHeight w:val="20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ECA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A33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铝扣板吊顶（600*600*1.0mm ）（+0.5mm铜板）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1238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1）铝合金扣板与配套专用龙骨固定 600*600nm*1.0mm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2）350*350*0.35*0.35mm 三角铝龙骨中距600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3）50*50*1.m2m铝合金方管龙骨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4）M6不锈钢丝杆+不锈钢弯角固定件等</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5）20mm橡塑海绵</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6）0.5紫铜板+衬板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7）50*50*1.2mm铝合金方管龙骨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8）镀锌绝缘套件+M10丝杆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9）现浇钢筋混凝土楼板</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BBF3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C0A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25.01</w:t>
            </w:r>
          </w:p>
        </w:tc>
      </w:tr>
      <w:tr w14:paraId="519C0231">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972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26F8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石膏板</w:t>
            </w:r>
            <w:r>
              <w:rPr>
                <w:rFonts w:hint="eastAsia" w:ascii="宋体" w:hAnsi="宋体" w:eastAsia="宋体" w:cs="宋体"/>
                <w:color w:val="auto"/>
                <w:kern w:val="0"/>
                <w:sz w:val="24"/>
                <w:szCs w:val="24"/>
                <w:highlight w:val="none"/>
                <w:lang w:val="en-US" w:eastAsia="zh-CN" w:bidi="ar"/>
              </w:rPr>
              <w:t>刷</w:t>
            </w:r>
            <w:r>
              <w:rPr>
                <w:rFonts w:hint="eastAsia" w:ascii="宋体" w:hAnsi="宋体" w:eastAsia="宋体" w:cs="宋体"/>
                <w:color w:val="auto"/>
                <w:kern w:val="0"/>
                <w:sz w:val="24"/>
                <w:szCs w:val="24"/>
                <w:highlight w:val="none"/>
                <w:lang w:bidi="ar"/>
              </w:rPr>
              <w:t>无机涂料造型吊顶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F55C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1）满刮2厚面层耐水腻子找平，刷无机涂料三遍（一底二面）</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2）双层 95mm厚防潮纸面石膏板，用自攻螺丝与龙骨固定，中距小于1200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3）C型轻钢龙骨横撑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4）C型轻钢次龙骨 CB60~27*0.6中距1200：CB60*27*0.6中距400;c型轻钢</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12B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A24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152.69</w:t>
            </w:r>
          </w:p>
        </w:tc>
      </w:tr>
      <w:tr w14:paraId="096F10F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942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5D51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无吊顶涂料</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83D9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1）无机涂料一底二面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2）2mm厚面层耐水腻子刮平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3）刷素水泥浆一道（内掺建筑胶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4）建筑楼板</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04F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286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1087.55</w:t>
            </w:r>
          </w:p>
        </w:tc>
      </w:tr>
      <w:tr w14:paraId="36357E0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5A1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FA8B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成品窗帘盒</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6CD9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1）饰面层折角区域及同室内天花连接处需做防裂处理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2）根据不同材质天花窗帘盒由9.5厚纸面石膏板面刷无机涂料饰面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3）使用 30*30木方、12mm阻燃板构造窗帘盒预留箱体宽度约180mm净空高度</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4）UC50型龙骨使用螺栓同窗帘盒箱体与12x80x200阻燃板固定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5）钢筋混凝土预留10#或8#吊杆同固定UC50龙骨连接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293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7F0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w:t>
            </w:r>
          </w:p>
        </w:tc>
      </w:tr>
      <w:tr w14:paraId="2FD2CD4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F74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1064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吊顶钢结构转换层</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8A27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1.钢材品种、规格：41×41×2.5mmC型钢桁架处理，中距</w:t>
            </w:r>
            <w:r>
              <w:rPr>
                <w:rFonts w:hint="eastAsia" w:ascii="宋体" w:hAnsi="宋体" w:eastAsia="宋体" w:cs="宋体"/>
                <w:color w:val="auto"/>
                <w:kern w:val="0"/>
                <w:sz w:val="24"/>
                <w:szCs w:val="24"/>
                <w:highlight w:val="none"/>
                <w:lang w:eastAsia="zh-CN" w:bidi="ar"/>
              </w:rPr>
              <w:t>详见</w:t>
            </w:r>
            <w:r>
              <w:rPr>
                <w:rFonts w:hint="eastAsia" w:ascii="宋体" w:hAnsi="宋体" w:eastAsia="宋体" w:cs="宋体"/>
                <w:color w:val="auto"/>
                <w:kern w:val="0"/>
                <w:sz w:val="24"/>
                <w:szCs w:val="24"/>
                <w:highlight w:val="none"/>
                <w:lang w:bidi="ar"/>
              </w:rPr>
              <w:t>设计图纸</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2.做法：用M10膨胀螺栓将100×100×3mm专用固定件及C型钢吊杆与楼板固定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3.其他：包含完成工作所需的一切内容，其他未详尽事宜详见招标文件、设计图纸及规范要求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4.部位：吊顶与楼板连接高度大于2.5m后设置钢结构转换层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F85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CDE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14.758</w:t>
            </w:r>
          </w:p>
        </w:tc>
      </w:tr>
      <w:tr w14:paraId="0078962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39B61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F3</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F5ED74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墙柱面工程</w:t>
            </w:r>
          </w:p>
        </w:tc>
      </w:tr>
      <w:tr w14:paraId="400DD587">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EB1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5EB3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200mm新建厚混凝土实心砖墙体（楼板顶），耐火极限≥2H</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A247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200mm新建厚混凝土实心砖墙体（楼板顶），耐火极限≥2H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276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AAD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291.81</w:t>
            </w:r>
          </w:p>
        </w:tc>
      </w:tr>
      <w:tr w14:paraId="327B58D4">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85D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4D7B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新建100m厚75系列轻钢龙骨防潮石膏板墙体（内嵌100kg/m³ 防火岩棉）+贴木饰面</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6494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1）无机内墙涂料（防霉无机内墙涂料），一底两面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2）3厚耐水腻子分层批平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3）板缝处及转角处贴大于50宽涂塑耐碱玻璃纤维网格布一层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4）12厚硅酸钙板表面自攻螺丝防锈处理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5）50mm厚100kg/m3防火岩棉填充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6）75型轻钢龙骨（靠疏散走道两侧到结构楼板底）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7）12厚石膏板表面自攻螺丝防锈处理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66A4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AF2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402.15</w:t>
            </w:r>
          </w:p>
        </w:tc>
      </w:tr>
      <w:tr w14:paraId="6459D2A4">
        <w:tblPrEx>
          <w:tblCellMar>
            <w:top w:w="0" w:type="dxa"/>
            <w:left w:w="108" w:type="dxa"/>
            <w:bottom w:w="0" w:type="dxa"/>
            <w:right w:w="108" w:type="dxa"/>
          </w:tblCellMar>
        </w:tblPrEx>
        <w:trPr>
          <w:trHeight w:val="18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B81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155D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新建100m厚75系列轻钢龙骨防潮石膏板墙体（内嵌100kg/m³ 防火岩棉）+贴木饰面</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3B44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1）无机内墙涂料（防霉无机内墙涂料），一底两面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2）3厚耐水腻子分层批平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3）板缝处及转角处贴大于50宽涂塑耐碱玻璃纤维网格布一层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4）12厚硅酸钙板表面自攻螺丝防锈处理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5）石膏板面贴木饰面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6）50mm厚100kg/m3防火岩棉填充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7）75型轻钢龙骨（靠疏散走道两侧到结构楼板底）</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8）12厚石膏板表面自攻螺丝防锈处理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3B6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CB2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84.84</w:t>
            </w:r>
          </w:p>
        </w:tc>
      </w:tr>
      <w:tr w14:paraId="41F710B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9DD6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CD53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新建100厚ALC蒸压轻质</w:t>
            </w:r>
            <w:r>
              <w:rPr>
                <w:rFonts w:hint="eastAsia" w:ascii="宋体" w:hAnsi="宋体" w:eastAsia="宋体" w:cs="宋体"/>
                <w:color w:val="auto"/>
                <w:kern w:val="0"/>
                <w:sz w:val="24"/>
                <w:szCs w:val="24"/>
                <w:highlight w:val="none"/>
                <w:lang w:eastAsia="zh-CN" w:bidi="ar"/>
              </w:rPr>
              <w:t>混凝土</w:t>
            </w:r>
            <w:r>
              <w:rPr>
                <w:rFonts w:hint="eastAsia" w:ascii="宋体" w:hAnsi="宋体" w:eastAsia="宋体" w:cs="宋体"/>
                <w:color w:val="auto"/>
                <w:kern w:val="0"/>
                <w:sz w:val="24"/>
                <w:szCs w:val="24"/>
                <w:highlight w:val="none"/>
                <w:lang w:bidi="ar"/>
              </w:rPr>
              <w:t>板材墙体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DAE1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1）5mm石晶板墙面（具有防水、氧化、抗喷碱腐蚀等</w:t>
            </w:r>
            <w:r>
              <w:rPr>
                <w:rFonts w:hint="eastAsia" w:ascii="宋体" w:hAnsi="宋体" w:eastAsia="宋体" w:cs="宋体"/>
                <w:color w:val="auto"/>
                <w:kern w:val="0"/>
                <w:sz w:val="24"/>
                <w:szCs w:val="24"/>
                <w:highlight w:val="none"/>
                <w:lang w:eastAsia="zh-CN" w:bidi="ar"/>
              </w:rPr>
              <w:t>功能</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2）双面胶固定位置+满铺耐火硅酮密封结构胶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3）专用强力固化剂界面渗透2遍</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4）专用水性环氧防水层2遍</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5）新建 100厚ALC蒸压轻质混凝土板材</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6D3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A1A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1560.43</w:t>
            </w:r>
          </w:p>
        </w:tc>
      </w:tr>
      <w:tr w14:paraId="32181A14">
        <w:tblPrEx>
          <w:tblCellMar>
            <w:top w:w="0" w:type="dxa"/>
            <w:left w:w="108" w:type="dxa"/>
            <w:bottom w:w="0" w:type="dxa"/>
            <w:right w:w="108" w:type="dxa"/>
          </w:tblCellMar>
        </w:tblPrEx>
        <w:trPr>
          <w:trHeight w:val="18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3E1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2595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新建100mm厚75系列轻钢龙骨+双层双面12mm 防潮石膏板墙体（内嵌10kg/m3防火岩棉）</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6EB7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1）无机内墙涂料（防霉无机内墙涂料），一底两面（内外侧）</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2）3厚耐水腻子分层批平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3）板缝处及转角处贴大于50宽涂塑耐碱玻璃纤维网格布一层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4）12厚硅酸钙板表面自攻螺丝防锈处理</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5）50mm厚100kg/m3防火岩</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EC12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43F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439.87</w:t>
            </w:r>
          </w:p>
        </w:tc>
      </w:tr>
      <w:tr w14:paraId="3CCDAEFD">
        <w:tblPrEx>
          <w:tblCellMar>
            <w:top w:w="0" w:type="dxa"/>
            <w:left w:w="108" w:type="dxa"/>
            <w:bottom w:w="0" w:type="dxa"/>
            <w:right w:w="108" w:type="dxa"/>
          </w:tblCellMar>
        </w:tblPrEx>
        <w:trPr>
          <w:trHeight w:val="20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F1D7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581C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新建50mm厚抗腐蚀手工石膏岩棉彩钢板+面贴5mm抗菌石晶板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630D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墙体组成：厚度≥0.476mm钢板+9.5mm石膏板+内嵌≥100kg岩棉+9.5mm石膏板+厚度≥0.476mm钢板+面贴5mm抗菌石晶板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1）5mm抗菌石晶板墙面（自带耐过氧化氢腐蚀，长期</w:t>
            </w:r>
            <w:r>
              <w:rPr>
                <w:rFonts w:hint="eastAsia" w:ascii="宋体" w:hAnsi="宋体" w:eastAsia="宋体" w:cs="宋体"/>
                <w:color w:val="auto"/>
                <w:kern w:val="0"/>
                <w:sz w:val="24"/>
                <w:szCs w:val="24"/>
                <w:highlight w:val="none"/>
                <w:lang w:val="en-US" w:eastAsia="zh-CN" w:bidi="ar"/>
              </w:rPr>
              <w:t>泡</w:t>
            </w:r>
            <w:r>
              <w:rPr>
                <w:rFonts w:hint="eastAsia" w:ascii="宋体" w:hAnsi="宋体" w:eastAsia="宋体" w:cs="宋体"/>
                <w:color w:val="auto"/>
                <w:kern w:val="0"/>
                <w:sz w:val="24"/>
                <w:szCs w:val="24"/>
                <w:highlight w:val="none"/>
                <w:lang w:bidi="ar"/>
              </w:rPr>
              <w:t>水不变形、抗紫外黄变等性物）</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2）双面胶固定位置+满铺耐火硅酮密封结构胶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3）耐火极限≥1小时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4）内填充岩棉重≥100</w:t>
            </w:r>
            <w:r>
              <w:rPr>
                <w:rFonts w:hint="eastAsia" w:ascii="宋体" w:hAnsi="宋体" w:eastAsia="宋体" w:cs="宋体"/>
                <w:color w:val="auto"/>
                <w:kern w:val="0"/>
                <w:sz w:val="24"/>
                <w:szCs w:val="24"/>
                <w:highlight w:val="none"/>
                <w:lang w:eastAsia="zh-CN" w:bidi="ar"/>
              </w:rPr>
              <w:t>kg</w:t>
            </w:r>
            <w:r>
              <w:rPr>
                <w:rFonts w:hint="eastAsia" w:ascii="宋体" w:hAnsi="宋体" w:eastAsia="宋体" w:cs="宋体"/>
                <w:color w:val="auto"/>
                <w:kern w:val="0"/>
                <w:sz w:val="24"/>
                <w:szCs w:val="24"/>
                <w:highlight w:val="none"/>
                <w:lang w:bidi="ar"/>
              </w:rPr>
              <w:t>/m³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5）踢脚翻边做高100并保证同墙体平或不超过墙面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6）配套型材使用 4*13铆钉匀固定同洁净板固定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7）1.2mm配套型材使原膨胀</w:t>
            </w:r>
            <w:r>
              <w:rPr>
                <w:rFonts w:hint="eastAsia" w:ascii="宋体" w:hAnsi="宋体" w:eastAsia="宋体" w:cs="宋体"/>
                <w:color w:val="auto"/>
                <w:kern w:val="0"/>
                <w:sz w:val="24"/>
                <w:szCs w:val="24"/>
                <w:highlight w:val="none"/>
                <w:lang w:eastAsia="zh-CN" w:bidi="ar"/>
              </w:rPr>
              <w:t>螺丝</w:t>
            </w:r>
            <w:r>
              <w:rPr>
                <w:rFonts w:hint="eastAsia" w:ascii="宋体" w:hAnsi="宋体" w:eastAsia="宋体" w:cs="宋体"/>
                <w:color w:val="auto"/>
                <w:kern w:val="0"/>
                <w:sz w:val="24"/>
                <w:szCs w:val="24"/>
                <w:highlight w:val="none"/>
                <w:lang w:bidi="ar"/>
              </w:rPr>
              <w:t>同地平固定</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491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E4E2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969.58</w:t>
            </w:r>
          </w:p>
        </w:tc>
      </w:tr>
      <w:tr w14:paraId="6C95C518">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F4BC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28F3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新建50mm抗腐蚀手工石膏岩棉彩钢板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4751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墙体组成：厚度≥0.476mm钢板+9.5m石膏板内嵌100kgm/岩棉+9.5m石膏板+厚度≥0.476mm钢板（喷氟碳涂层，防抗过氧化氢腐蚀）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1）墙板整体承载力不应低于150kg/m2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2）疏散走道两侧的墙体耐火极限≥1小时，内填充岩棉客重≥100</w:t>
            </w:r>
            <w:r>
              <w:rPr>
                <w:rFonts w:hint="eastAsia" w:ascii="宋体" w:hAnsi="宋体" w:eastAsia="宋体" w:cs="宋体"/>
                <w:color w:val="auto"/>
                <w:kern w:val="0"/>
                <w:sz w:val="24"/>
                <w:szCs w:val="24"/>
                <w:highlight w:val="none"/>
                <w:lang w:eastAsia="zh-CN" w:bidi="ar"/>
              </w:rPr>
              <w:t>kg</w:t>
            </w:r>
            <w:r>
              <w:rPr>
                <w:rFonts w:hint="eastAsia" w:ascii="宋体" w:hAnsi="宋体" w:eastAsia="宋体" w:cs="宋体"/>
                <w:color w:val="auto"/>
                <w:kern w:val="0"/>
                <w:sz w:val="24"/>
                <w:szCs w:val="24"/>
                <w:highlight w:val="none"/>
                <w:lang w:bidi="ar"/>
              </w:rPr>
              <w:t>/m³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3）踢脚翻边做高100并保证同墙体平或不超过墙面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4）配套型材使用 4*13铆钉匀固定同洁净板固定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5）1.2mm配套型材使原膨胀</w:t>
            </w:r>
            <w:r>
              <w:rPr>
                <w:rFonts w:hint="eastAsia" w:ascii="宋体" w:hAnsi="宋体" w:eastAsia="宋体" w:cs="宋体"/>
                <w:color w:val="auto"/>
                <w:kern w:val="0"/>
                <w:sz w:val="24"/>
                <w:szCs w:val="24"/>
                <w:highlight w:val="none"/>
                <w:lang w:eastAsia="zh-CN" w:bidi="ar"/>
              </w:rPr>
              <w:t>螺丝</w:t>
            </w:r>
            <w:r>
              <w:rPr>
                <w:rFonts w:hint="eastAsia" w:ascii="宋体" w:hAnsi="宋体" w:eastAsia="宋体" w:cs="宋体"/>
                <w:color w:val="auto"/>
                <w:kern w:val="0"/>
                <w:sz w:val="24"/>
                <w:szCs w:val="24"/>
                <w:highlight w:val="none"/>
                <w:lang w:bidi="ar"/>
              </w:rPr>
              <w:t>同地平固定</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43A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1CE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4737.05</w:t>
            </w:r>
          </w:p>
        </w:tc>
      </w:tr>
      <w:tr w14:paraId="1E9A4E7A">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1E3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595E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新建50mm装配式生物洁净板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E289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5mm生物洁净板+高强度铝龙骨（内嵌墙体组成：≥100kg/m³防火岩棉）+5mm生物洁净板（自带抗菌、酸碱腐饭等功能）</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1）墙板整体承载力不应低于150kg/m2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2）耐火极限≥1h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7098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19B1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595.96</w:t>
            </w:r>
          </w:p>
        </w:tc>
      </w:tr>
      <w:tr w14:paraId="7D136EA1">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91E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7412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无机涂料墙面（土建墙体）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8BC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1）无机涂料（防霉无机内墙涂料）/防水无机涂料，一底两面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2）3厚耐水腻子分层批平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3）8厚DP20水泥砂浆罩面压实赶光抹平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4）2mm厚聚合物水泥防水涂料2道（此做法仅用于有水房间及地下室所有房间）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5）12厚DP15水泥砂浆打底（内衬10*10*0.6钢丝网）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6）界面剂一道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7）土建墙体</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11A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37E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4133.668</w:t>
            </w:r>
          </w:p>
        </w:tc>
      </w:tr>
      <w:tr w14:paraId="46FFFBC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86E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4B41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彩色内墙釉面砖墙面</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E8C1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1）10mm厚墙面砖（粘贴前充分浸湿）专用墙面填缝剂填缝</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2）6mm厚强力胶粉泥粘结层，揉挤压实</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3）2.0mm厚聚合物水泥防水涂料至吊顶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4）20厚DP20水泥砂浆找平层嵌入金属网加固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5）基层墙体并刷界面剂一道</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3DBC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F30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154.14</w:t>
            </w:r>
          </w:p>
        </w:tc>
      </w:tr>
      <w:tr w14:paraId="68515EC7">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DE50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11E4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4mm覆膜金属复合墙板（土建墙体）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3F32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1）4mm覆膜金属复合墙板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2）25*25横向轻钢龙骨，与竖向龙骨焊接固定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3）50*50竖向方管龙骨用膨胀螺丝固定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4）30*30*3角钢，双根并铺距离50，用M8*80膨胀螺栓固定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5）8厚DP20水泥砂浆找平</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6）12厚DP15水泥砂浆打底</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9CA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F11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427.41</w:t>
            </w:r>
          </w:p>
        </w:tc>
      </w:tr>
      <w:tr w14:paraId="39CCE95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4D4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A533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面贴5mm抗菌石晶板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410D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1）5mm抗菌石晶板墙面（自带耐过氧化氢腐蚀，长期</w:t>
            </w:r>
            <w:r>
              <w:rPr>
                <w:rFonts w:hint="eastAsia" w:ascii="宋体" w:hAnsi="宋体" w:eastAsia="宋体" w:cs="宋体"/>
                <w:color w:val="auto"/>
                <w:kern w:val="0"/>
                <w:sz w:val="24"/>
                <w:szCs w:val="24"/>
                <w:highlight w:val="none"/>
                <w:lang w:val="en-US" w:eastAsia="zh-CN" w:bidi="ar"/>
              </w:rPr>
              <w:t>泡</w:t>
            </w:r>
            <w:r>
              <w:rPr>
                <w:rFonts w:hint="eastAsia" w:ascii="宋体" w:hAnsi="宋体" w:eastAsia="宋体" w:cs="宋体"/>
                <w:color w:val="auto"/>
                <w:kern w:val="0"/>
                <w:sz w:val="24"/>
                <w:szCs w:val="24"/>
                <w:highlight w:val="none"/>
                <w:lang w:bidi="ar"/>
              </w:rPr>
              <w:t>水不变形、抗紫外黄变等性物）</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2）双面胶固定位置+满铺耐火硅酮密封结构胶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C5A7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0AA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170.24</w:t>
            </w:r>
          </w:p>
        </w:tc>
      </w:tr>
      <w:tr w14:paraId="60F048D6">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5A38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3A3C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新建50系列轻钢龙骨+冲孔吸音板墙体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D3DF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1）10厚硅钙穿孔板（P=20%），用自攻螺钉固定在竖向龙骨上</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2）50厚超细玻璃纤维吸音棉，胶粘剂粘贴于龙骨间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3）50型轻钢龙骨表面涂防腐涂料，中距不大于500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4）2厚聚合物水泥砂浆防水层（此做法仅用于有水房间）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5）10厚DP15预拌砂浆打底抹平</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BD6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041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373.47</w:t>
            </w:r>
          </w:p>
        </w:tc>
      </w:tr>
      <w:tr w14:paraId="7C79A44F">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0D5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07E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石晶板墙面（A级）（此做法用于磁屏蔽防护房间）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0A59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1）5mm石晶板+12mm硅钙板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2）25*38mm铝合金方管龙骨（格子内嵌吸音板）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3）0.5mm紫铜皮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4）25*38mm铝合金方管龙骨（格子内嵌吸音板）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5）PVC绝缘弯角件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6）土建墙体</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AE6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C69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104.4</w:t>
            </w:r>
          </w:p>
        </w:tc>
      </w:tr>
      <w:tr w14:paraId="40C887C4">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311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717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不锈钢踢脚</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801B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1.踢脚线高度：100mm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2.基层材料种类、规格：9mm阻燃板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3.面层材料品种、规格、颜色：1.2mm厚304拉丝不锈钢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2EA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D18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229.18</w:t>
            </w:r>
          </w:p>
        </w:tc>
      </w:tr>
      <w:tr w14:paraId="32038925">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F9C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50E9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地砖踢脚</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BA6E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1）5厚地砖踢脚，专用勾缝剂勾缝，高度100mm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2）13厚水泥砂浆粘结层（内掺建筑胶）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3）专用界面剂一道甩毛</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4）建筑墙体</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B57F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FB9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179.5</w:t>
            </w:r>
          </w:p>
        </w:tc>
      </w:tr>
      <w:tr w14:paraId="7E6055F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058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0F1F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环氧刚玉踢脚</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9B50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1.踢脚线高度：100mm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E175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F36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1137.547</w:t>
            </w:r>
          </w:p>
        </w:tc>
      </w:tr>
      <w:tr w14:paraId="21F89CD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A39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59D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硬PVC塑料踢脚</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D10C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1.踢脚线高度：100mm </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2.专用墙角垫条要求做不小于R30圆角</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3.安装基层表面需处理平整PVC专用粘合剂黏连</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4.2mm厚并翻起100mm高PVC同质透芯地板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5.其他：满足施工图设计要求及施工验收规范要求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9A9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28F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2718.28</w:t>
            </w:r>
          </w:p>
        </w:tc>
      </w:tr>
      <w:tr w14:paraId="7776A335">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4AE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F1D1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防撞带</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883B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1.类型：150</w:t>
            </w:r>
            <w:r>
              <w:rPr>
                <w:rFonts w:hint="eastAsia" w:ascii="宋体" w:hAnsi="宋体" w:eastAsia="宋体" w:cs="宋体"/>
                <w:color w:val="auto"/>
                <w:kern w:val="0"/>
                <w:sz w:val="24"/>
                <w:szCs w:val="24"/>
                <w:highlight w:val="none"/>
                <w:lang w:val="en-US" w:eastAsia="zh-CN" w:bidi="ar"/>
              </w:rPr>
              <w:t>mm</w:t>
            </w:r>
            <w:r>
              <w:rPr>
                <w:rFonts w:hint="eastAsia" w:ascii="宋体" w:hAnsi="宋体" w:eastAsia="宋体" w:cs="宋体"/>
                <w:color w:val="auto"/>
                <w:kern w:val="0"/>
                <w:sz w:val="24"/>
                <w:szCs w:val="24"/>
                <w:highlight w:val="none"/>
                <w:lang w:bidi="ar"/>
              </w:rPr>
              <w:t>高不锈钢防撞带</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2.基层材料种类、规格：12mm阻燃板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3.面层材料品种、规格、颜色：1.0mm厚304拉丝不锈钢板，具体</w:t>
            </w:r>
            <w:r>
              <w:rPr>
                <w:rFonts w:hint="eastAsia" w:ascii="宋体" w:hAnsi="宋体" w:eastAsia="宋体" w:cs="宋体"/>
                <w:color w:val="auto"/>
                <w:kern w:val="0"/>
                <w:sz w:val="24"/>
                <w:szCs w:val="24"/>
                <w:highlight w:val="none"/>
                <w:lang w:eastAsia="zh-CN" w:bidi="ar"/>
              </w:rPr>
              <w:t>详见</w:t>
            </w:r>
            <w:r>
              <w:rPr>
                <w:rFonts w:hint="eastAsia" w:ascii="宋体" w:hAnsi="宋体" w:eastAsia="宋体" w:cs="宋体"/>
                <w:color w:val="auto"/>
                <w:kern w:val="0"/>
                <w:sz w:val="24"/>
                <w:szCs w:val="24"/>
                <w:highlight w:val="none"/>
                <w:lang w:bidi="ar"/>
              </w:rPr>
              <w:t>不锈钢防撞带设计节点</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离地150mm和800mm（上下两道）安装。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6671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01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1011</w:t>
            </w:r>
          </w:p>
        </w:tc>
      </w:tr>
      <w:tr w14:paraId="413F5E5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262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E173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外立面风管包裹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8572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固定50×180 槽钢作为竖向主转接龙骨；搭配50×50 角钢做斜向三角支撑；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通过钢龙骨，利用30×30 铝角码，完成钢构件与铝构件的异种金属转接；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骨架：50×30 方钢管，井字形骨架；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外装饰面：50×50 铝方管，表面氟碳喷涂，为可视装饰面层，井字排布形成镂空格栅效果</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EB6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4BDF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1037.124</w:t>
            </w:r>
          </w:p>
        </w:tc>
      </w:tr>
      <w:tr w14:paraId="5C189D5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5C625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F4</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976655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门窗工程</w:t>
            </w:r>
          </w:p>
        </w:tc>
      </w:tr>
      <w:tr w14:paraId="6D479DE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5E3A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03A7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净化专用钢制密闭门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53AD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1.门类型：净化专用钢制密闭门（单开、含门套带视窗）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2.门代号：GM1023、GM102</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0CB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9240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692.98</w:t>
            </w:r>
          </w:p>
        </w:tc>
      </w:tr>
      <w:tr w14:paraId="5F7333B9">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094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4E3A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丙级防火门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B3AA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1.名称：丙级防火门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2.门代号：FM丙0721、FM丙0821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3.框、扇材质：成品套装门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4.钢质，丙级（耐火隔热性≥0.5h，耐火完整性≥0.5h）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9F9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9A5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w:t>
            </w:r>
          </w:p>
        </w:tc>
      </w:tr>
      <w:tr w14:paraId="299B27C7">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5B2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97AA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乙级防火门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1AE1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1.名称：乙级防火门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2.门代号：FM乙1023、FM乙1221、FM乙1123、FM乙1521、FM乙1523、FM乙1524、FM乙1823、FM乙1923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3.框、扇材质：成品套装门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4.钢质，乙级（耐火隔热性≥1.0h，耐火完整性≥1.0h）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ECA8C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DF1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76.5</w:t>
            </w:r>
          </w:p>
        </w:tc>
      </w:tr>
      <w:tr w14:paraId="3C33C2D7">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688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2AC79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甲级防火门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4FC1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1.名称：甲级防火门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2.门代号：FM甲1221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3.框、扇材质：成品套装门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4.钢质，甲级（耐火隔热性≥1.5h，耐火完整性≥1.5h）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CB5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E75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2.52</w:t>
            </w:r>
          </w:p>
        </w:tc>
      </w:tr>
      <w:tr w14:paraId="6A13BF8E">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DA2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634C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检修门 JXM0521</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332DC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1.门类型：检修门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2.门代号及洞口尺寸：JXM0521</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3.门框、扇材质：1.2mm304拉丝不锈钢，门套1.0mm304拉丝不锈钢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4.五金配置：带门锁、门吸（具体需根据实际情况定制）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E9AC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3F3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r>
      <w:tr w14:paraId="1BEBCE97">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A88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43A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木质门带门套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FC4D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1.门类型：实木单开门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2.门代号及洞口尺寸：M1123、M1821、M1824</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3.门扇、门套：木纹饰面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4.五金配置：设门锁1个，门止1个，合页3个及门吸</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CB4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1935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9.87</w:t>
            </w:r>
          </w:p>
        </w:tc>
      </w:tr>
      <w:tr w14:paraId="27F38A7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324C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8F49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消防救援窗XFC1212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5DB3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1、消防救援净化窗-XFC1212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2、5mm钢化安全易碎玻璃，1.2mm拉丝不锈钢，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3、嵌缝.塞口材料品种：设计要求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4、做法：详见门窗节点详图</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5、五金配置：五金配置需专业厂家深化（带消防锤）</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DDB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樘</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166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r>
      <w:tr w14:paraId="3EBDBEB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AD8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1595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单开屏蔽电动门（内嵌2mm铜板）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6337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1.门类型：单开屏蔽移门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2.门代号及洞口尺寸：QM1224a、QM1323a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3.门扇、门套：镀锌钢板烤漆（内嵌2mm铜板）、拉丝不锈钢（内嵌3mm铜板）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4.五金配置：带超静音外置式平开电动门机、闭门器、观察窗、门锁、门地密封条等（自动感应门停电后能手动开启）</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BCA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0E36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3.45</w:t>
            </w:r>
          </w:p>
        </w:tc>
      </w:tr>
      <w:tr w14:paraId="6BEFA6D4">
        <w:tblPrEx>
          <w:tblCellMar>
            <w:top w:w="0" w:type="dxa"/>
            <w:left w:w="108" w:type="dxa"/>
            <w:bottom w:w="0" w:type="dxa"/>
            <w:right w:w="108" w:type="dxa"/>
          </w:tblCellMar>
        </w:tblPrEx>
        <w:trPr>
          <w:trHeight w:val="18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1CB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F063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双开屏蔽电动门（内嵌2mm铜板）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92A8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1.门类型：双开屏蔽移门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2.门代号及洞口尺寸：QM1524a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3.门扇、门套：镀锌钢板烤漆（内嵌2mm铜板）拉丝不锈钢（内嵌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3mm铜板）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4.五金配置：带闭门器、观察窗、脚感应、电动门机、侧面橡胶条+底部橡胶条垫（自动感应门停电后能手动开启）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F16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8D9F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r>
      <w:tr w14:paraId="2967D7CE">
        <w:tblPrEx>
          <w:tblCellMar>
            <w:top w:w="0" w:type="dxa"/>
            <w:left w:w="108" w:type="dxa"/>
            <w:bottom w:w="0" w:type="dxa"/>
            <w:right w:w="108" w:type="dxa"/>
          </w:tblCellMar>
        </w:tblPrEx>
        <w:trPr>
          <w:trHeight w:val="15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8C6B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8129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自动单开移门YM1523</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9E7F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1.门类型：自动移门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2.门代号及洞口尺寸：YM1523、QYM1523、QYM1523B、QM1523、QM1524a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3.门扇、门套：1.0MM镀锌钢板烤漆+1.2MM拉丝不锈钢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4.五金配置：带闭门器、观察窗、脚感应、电动门机、侧面橡胶条+底部橡胶条垫（自动感应门停电后能手动开启）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3BA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4CC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13.95</w:t>
            </w:r>
          </w:p>
        </w:tc>
      </w:tr>
      <w:tr w14:paraId="0F8260F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3FA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81A0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洁净观察窗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852C6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1.窗类型：洁净观察窗</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AEA1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6D0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w:t>
            </w:r>
          </w:p>
        </w:tc>
      </w:tr>
      <w:tr w14:paraId="0452FAEA">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66C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6823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洁净观察窗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1059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1.窗类型：洁净观察窗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2.窗代号及洞口尺寸：QC4512a</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3.门扇、门套：5+5mm双层中空钢化玻璃</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4.其他：包含完成工作所需的一切内容，其他未详尽事宜详见招标文件、设计图纸及规范要求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CA7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7B6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w:t>
            </w:r>
          </w:p>
        </w:tc>
      </w:tr>
      <w:tr w14:paraId="408E8AC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31150A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F5</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2DFFCD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装饰设备</w:t>
            </w:r>
          </w:p>
        </w:tc>
      </w:tr>
      <w:tr w14:paraId="0557FBD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D88E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B25B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风淋室（单人双吹）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646D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内净尺寸：800W*900D*2000H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D00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15E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4828E6E">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F57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B7B4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风淋室（双人双吹）</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7CD0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内净尺寸：800W*1400D*2000H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A31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72A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009C3A1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737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5688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紫外传递窗（PB2）</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D2BC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1.内净尺寸：600W×600D×600H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2.框、扇材质：面层</w:t>
            </w:r>
            <w:r>
              <w:rPr>
                <w:rFonts w:hint="eastAsia" w:ascii="宋体" w:hAnsi="宋体" w:eastAsia="宋体" w:cs="宋体"/>
                <w:color w:val="auto"/>
                <w:sz w:val="24"/>
                <w:szCs w:val="24"/>
                <w:highlight w:val="none"/>
              </w:rPr>
              <w:t>不低于SUS304#（t≧1.2mm）</w:t>
            </w:r>
            <w:r>
              <w:rPr>
                <w:rFonts w:hint="eastAsia" w:ascii="宋体" w:hAnsi="宋体" w:eastAsia="宋体" w:cs="宋体"/>
                <w:color w:val="auto"/>
                <w:kern w:val="0"/>
                <w:sz w:val="24"/>
                <w:szCs w:val="24"/>
                <w:highlight w:val="none"/>
                <w:lang w:bidi="ar"/>
              </w:rPr>
              <w:t>，三面杀菌（辐射照度≥ 40uw/cm2 ）、电子互锁、紫外灯孔板防护 ， 工作区四角采用直径 20mm 圆弧过度，便于清洁，离地 800 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D07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88D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0A46987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8FF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341C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紫外传递窗（PB3）</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E9ED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1.内净尺寸：800W×800D×800H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2.框、扇材质：面层</w:t>
            </w:r>
            <w:r>
              <w:rPr>
                <w:rFonts w:hint="eastAsia" w:ascii="宋体" w:hAnsi="宋体" w:eastAsia="宋体" w:cs="宋体"/>
                <w:color w:val="auto"/>
                <w:sz w:val="24"/>
                <w:szCs w:val="24"/>
                <w:highlight w:val="none"/>
              </w:rPr>
              <w:t>不低于SUS304#（t≧1.2mm）</w:t>
            </w:r>
            <w:r>
              <w:rPr>
                <w:rFonts w:hint="eastAsia" w:ascii="宋体" w:hAnsi="宋体" w:eastAsia="宋体" w:cs="宋体"/>
                <w:color w:val="auto"/>
                <w:kern w:val="0"/>
                <w:sz w:val="24"/>
                <w:szCs w:val="24"/>
                <w:highlight w:val="none"/>
                <w:lang w:bidi="ar"/>
              </w:rPr>
              <w:t>，三面杀菌（辐射照度≥ 40uw/cm2 ）、电子互锁、紫外灯孔板防护 ， 工作区四角采用直径 20mm 圆弧过度，便于清洁，离地 800 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C31A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01C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2CAD8AE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1F27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FF7E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传递窗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0896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1.内净尺寸：800W×600D×800H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2.框、扇材质：面层</w:t>
            </w:r>
            <w:r>
              <w:rPr>
                <w:rFonts w:hint="eastAsia" w:ascii="宋体" w:hAnsi="宋体" w:eastAsia="宋体" w:cs="宋体"/>
                <w:color w:val="auto"/>
                <w:sz w:val="24"/>
                <w:szCs w:val="24"/>
                <w:highlight w:val="none"/>
              </w:rPr>
              <w:t>不低于SUS304#（t≧1.2mm）</w:t>
            </w:r>
            <w:r>
              <w:rPr>
                <w:rFonts w:hint="eastAsia" w:ascii="宋体" w:hAnsi="宋体" w:eastAsia="宋体" w:cs="宋体"/>
                <w:color w:val="auto"/>
                <w:kern w:val="0"/>
                <w:sz w:val="24"/>
                <w:szCs w:val="24"/>
                <w:highlight w:val="none"/>
                <w:lang w:bidi="ar"/>
              </w:rPr>
              <w:t>，三面杀菌（辐射照度≥ 40uw/cm2 ）、电子互锁、紫外灯</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7E75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4B3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5C6DE91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278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C572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氙光传递窗（传动物）</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A888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内净尺寸：800W*800D*1300H</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A7D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45F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75A404B9">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F584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00F4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600*600气密性电解钢板检修口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D822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1、名称：600*600气密性电解钢板检修口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2、规格：600×600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3、所用部位：天棚</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4、其他：此项目未尽事宜详见图纸及工程规范，为完成本工程所需的工作内容均包含在综合单价内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680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74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r>
      <w:tr w14:paraId="279161F7">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E7657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F6</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8BE321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室外管廊工程</w:t>
            </w:r>
          </w:p>
        </w:tc>
      </w:tr>
      <w:tr w14:paraId="4866761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933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A993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C435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构件类型：室外管廊钢柱；2. 材质：Q235B；3. 规格：方钢管 150×150×8；4. 包含：柱身、柱脚加劲肋；5. 探伤：满足设计；6. 喷砂除锈 Sa2.5 级；7. 油漆另列清单；8. 含制作、运输、安装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4D2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BEA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4.25</w:t>
            </w:r>
          </w:p>
        </w:tc>
      </w:tr>
      <w:tr w14:paraId="40F21DF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307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01816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钢梁</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DA12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构件类型：管廊钢梁；2. 材质：Q235B；3. 规格：HN200×100×5.5×8 热轧 H 型钢；4. 包含：连接板、节点加劲肋；5. 喷砂除锈 Sa2.5 级；6. 油漆另列清单；7. 含制作、运输、安装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DA8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CF2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6.82</w:t>
            </w:r>
          </w:p>
        </w:tc>
      </w:tr>
      <w:tr w14:paraId="75A0849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5D4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C1548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高强螺栓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AD82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部位：梁柱刚接节点；2. 螺栓等级：10.9 级 M20 高强螺栓；3. 含螺栓、螺母、垫圈；4. 安装、终拧</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BF1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920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0.22</w:t>
            </w:r>
          </w:p>
        </w:tc>
      </w:tr>
      <w:tr w14:paraId="002639F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DDD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0862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金属面油漆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43D3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构件：钢柱、钢梁、钢连接板等全部钢构件；2. 除锈：喷砂除锈 Sa2.5；3. 底漆：环氧富锌底漆 2 遍，干膜 70μm；4. 中间漆：环氧云铁中间漆 1 遍，干膜 70μm；5. 面漆：环氧 / 聚氨酯面漆 1 遍，干膜 100μm；6. 漆膜总厚度≥310μm；7. 含涂刷、养护</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779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B51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11.67</w:t>
            </w:r>
          </w:p>
        </w:tc>
      </w:tr>
      <w:tr w14:paraId="69DE25E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DC4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F758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独立基础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F8E8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混凝土强度等级：C30；2. 部位：管廊钢柱独立基础；3.包含基础混凝土浇筑、振捣养护；4.基础坐落于老土层，不得置于建筑垃圾回填土</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AF1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6F7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14.4</w:t>
            </w:r>
          </w:p>
        </w:tc>
      </w:tr>
      <w:tr w14:paraId="6445DDEE">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5524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0713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现浇构件钢筋</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598A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钢筋种类：HRB400；2. 规格：Φ10；3. 部位：独立基础底板双向配筋 Φ10@150；4. 含制作、绑扎、安装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0FE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245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1.32</w:t>
            </w:r>
          </w:p>
        </w:tc>
      </w:tr>
      <w:tr w14:paraId="734CF39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99423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F7</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24174E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室外结构工程</w:t>
            </w:r>
          </w:p>
        </w:tc>
      </w:tr>
      <w:tr w14:paraId="48E0AEE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45D8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D104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室外钢结构基础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9250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此区域板厚250厚，混凝土标号为C30、φ10@200双层双向钢筋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AA2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A1C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w:t>
            </w:r>
          </w:p>
        </w:tc>
      </w:tr>
      <w:tr w14:paraId="62340F40">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DE37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008D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钢管柱（方管钢柱）</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7030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材质 Q355B；规格□200×200×10；高度 4m；含柱脚底板、加劲板、锚栓垫板；喷砂 Sa2.5；配套防腐油漆；探伤按设计</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4A7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153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7.82</w:t>
            </w:r>
          </w:p>
        </w:tc>
      </w:tr>
      <w:tr w14:paraId="4694EA5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6E38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2915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钢梁</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8EA8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 材质 Q355B；HN400×200×8×13；含连接板、高强螺栓、加劲板；喷砂 Sa2.5，配套防腐油漆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AB53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68C6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9.45</w:t>
            </w:r>
          </w:p>
        </w:tc>
      </w:tr>
      <w:tr w14:paraId="5CF516F1">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B690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434A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钢檩条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3D63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 槽钢；屋面檩条，含檩托板；Q355B；喷砂 Sa2.5、防腐油漆</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854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B3F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6.38</w:t>
            </w:r>
          </w:p>
        </w:tc>
      </w:tr>
      <w:tr w14:paraId="367B767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AA2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0262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轻质夹芯板外墙</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7E3C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 厚彩钢轻质夹芯板；含门窗洞口收边，包角</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6288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5AA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144</w:t>
            </w:r>
          </w:p>
        </w:tc>
      </w:tr>
      <w:tr w14:paraId="66484B3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9C4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8377C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高强螺栓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FA4B7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M20，10.9 级；钢梁</w:t>
            </w:r>
            <w:r>
              <w:rPr>
                <w:rFonts w:hint="eastAsia" w:ascii="宋体" w:hAnsi="宋体" w:eastAsia="宋体" w:cs="宋体"/>
                <w:color w:val="auto"/>
                <w:kern w:val="0"/>
                <w:sz w:val="24"/>
                <w:szCs w:val="24"/>
                <w:highlight w:val="none"/>
                <w:lang w:bidi="ar"/>
              </w:rPr>
              <w:noBreakHyphen/>
            </w:r>
            <w:r>
              <w:rPr>
                <w:rFonts w:hint="eastAsia" w:ascii="宋体" w:hAnsi="宋体" w:eastAsia="宋体" w:cs="宋体"/>
                <w:color w:val="auto"/>
                <w:kern w:val="0"/>
                <w:sz w:val="24"/>
                <w:szCs w:val="24"/>
                <w:highlight w:val="none"/>
                <w:lang w:bidi="ar"/>
              </w:rPr>
              <w:t>柱节点、梁拼接节点</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C782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5AB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144</w:t>
            </w:r>
          </w:p>
        </w:tc>
      </w:tr>
      <w:tr w14:paraId="6B270B1C">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F9D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43A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金属面喷砂除锈</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4844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钢材喷砂除锈，等级 Sa2.5 级</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8E5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ED8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23.65</w:t>
            </w:r>
          </w:p>
        </w:tc>
      </w:tr>
      <w:tr w14:paraId="608EFD02">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5ED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E15F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金属面防腐油漆</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8DB9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环氧富锌底漆 2 遍 70μm；环氧云铁中间漆 70μm；环氧聚氨酯面漆 100μm；总漆膜≥310μm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B7A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t</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F02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23.65</w:t>
            </w:r>
          </w:p>
        </w:tc>
      </w:tr>
      <w:tr w14:paraId="41CA1C6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7A9D2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F8</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3FA962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拆除工程</w:t>
            </w:r>
          </w:p>
        </w:tc>
      </w:tr>
      <w:tr w14:paraId="299D1F6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AAF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2794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拆除200mm原有墙体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5E2C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拆除200mm原有墙体</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693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C4D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320.75</w:t>
            </w:r>
          </w:p>
        </w:tc>
      </w:tr>
      <w:tr w14:paraId="0C70052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699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543F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拆除100mm原有墙体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94161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拆除100mm原有墙体</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C0BE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5B1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889.53</w:t>
            </w:r>
          </w:p>
        </w:tc>
      </w:tr>
      <w:tr w14:paraId="1A5627CF">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3AD6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32D0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拆除防火门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6CA7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拆除防火门</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EB1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樘</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D09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r>
      <w:tr w14:paraId="3C7A5F8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E65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D124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垃圾外运</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E4E0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垃圾外运包括5km运距</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含楼面运输垃圾</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C29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m3</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1E9D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223.103</w:t>
            </w:r>
          </w:p>
        </w:tc>
      </w:tr>
      <w:tr w14:paraId="3D2E4E47">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35A0B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F9</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83859E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其他项目</w:t>
            </w:r>
          </w:p>
        </w:tc>
      </w:tr>
      <w:tr w14:paraId="504C0F1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D5FE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C59C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挡鼠板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49D6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1.不锈钢挡鼠板1500*500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AB4E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52E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r>
      <w:tr w14:paraId="54E4629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80C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F32C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脚手架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A118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脚手架架体（钢管 + 扣件）及垂直运输工作</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F23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708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23038264">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57584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F10</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CA514E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防排烟工程</w:t>
            </w:r>
          </w:p>
        </w:tc>
      </w:tr>
      <w:tr w14:paraId="7B252F1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046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7A1B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板式排烟口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90ED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1.名称：板式排烟口</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2.规格：800*600.叶片垂直</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A5E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D60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r>
      <w:tr w14:paraId="1CF68D0A">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07F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444C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280℃防火阀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AC3C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1.名称：280℃防火阀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2.规格：1000*250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3.支架形式、材质：含支架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65A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1922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r>
      <w:tr w14:paraId="03144AA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6C8B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B5B4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280℃防火阀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6C55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1.名称：280℃防火阀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2.规格：1200*400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3.支架形式、材质：含支架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D6E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4A29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297225F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048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CC6D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280℃防火阀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C957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1.名称：280℃防火阀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2.规格：800*630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3.支架形式、材质：含支架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8A9C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6BD6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015E731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6EA7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66FC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消声弯头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879A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1.名称：消声弯头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2.规格：1000*250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3.支架形式、材质：含支架制安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B01C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3131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r>
      <w:tr w14:paraId="3C08CAD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F964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D5D4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消声弯头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A798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1.名称：消声弯头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2.规格：800*800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3.支架形式、材质：含支架制安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148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CCEA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30A9320F">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4F6B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9F33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消声弯头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11BA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1.名称：消声弯头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2.规格：800*630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3.支架形式、材质：含支架制安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9578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AB60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r>
      <w:tr w14:paraId="3E4C61B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F91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9979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消声弯头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8193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1.名称：消声弯头</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2.规格：1000*1000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3.支架形式、材质：含支架制安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FB8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0BA4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335E36F">
        <w:tblPrEx>
          <w:tblCellMar>
            <w:top w:w="0" w:type="dxa"/>
            <w:left w:w="108" w:type="dxa"/>
            <w:bottom w:w="0" w:type="dxa"/>
            <w:right w:w="108" w:type="dxa"/>
          </w:tblCellMar>
        </w:tblPrEx>
        <w:trPr>
          <w:trHeight w:val="13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F8D2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A56D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碳钢通风管道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30F9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1.名称：加厚碳钢通风管道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4.规格：长边≤1000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5.板材厚度：1.0mm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6.管件、法兰等附件及支架设计要求：按图纸，支架及法兰等采用镀锌型材</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C8FF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5D8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935.53</w:t>
            </w:r>
          </w:p>
        </w:tc>
      </w:tr>
      <w:tr w14:paraId="16F3FDC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84F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3E45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碳钢通风管道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5471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1.名称：加厚碳钢通风管道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2.材质：镀锌钢板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3.形状：矩形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4.规格：长边≤1250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5A9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F56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461.55</w:t>
            </w:r>
          </w:p>
        </w:tc>
      </w:tr>
      <w:tr w14:paraId="75CFB05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DCA1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74FE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柔性接口</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03B5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1.名称：软接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2.规格：综合</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3.材质：绿色维纶防火帆布，氧指数不小于35</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燃烧后炭化，不滴液</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厚度不小于0.40mm; 常温下伸缩不小于10000次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4.按设计及规范要求安装，详见图纸</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B45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m2</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E1C5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r>
      <w:tr w14:paraId="7598976C">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608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B5A4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电动挡烟垂壁</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4A59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1.名称：电动挡烟垂壁</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2.规格：防火布，离完成面2300，含配套电动装置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3.其他：符合设计图纸及消防验收要求</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4.安装位置：1层</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A6EB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415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58B22D0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723C7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F11</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3791212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应急照明系统</w:t>
            </w:r>
          </w:p>
        </w:tc>
      </w:tr>
      <w:tr w14:paraId="452A4F7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1EB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E5B4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安全出口标志灯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A6513">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1.名称：A型安全出口标志灯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2.规格：LED 3W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3.安装方式：门上方0.2m安装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A44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4DF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r>
      <w:tr w14:paraId="0E246D0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232D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FAFC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楼层显示灯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BE77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1.名称：楼层显示灯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2.规格：LED 3W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3.安装方式：壁装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A3B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408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r>
      <w:tr w14:paraId="65F29D5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48C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4EDD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单面方向标志灯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19CE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1.名称：A型单面方向标志灯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2.规格：LED 1W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 xml:space="preserve">3.安装方式：底边离地0.5m壁装/底边离地2.5m吊装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67CD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0615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83</w:t>
            </w:r>
          </w:p>
        </w:tc>
      </w:tr>
      <w:tr w14:paraId="7816F42B">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2DB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D7A6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双面多信息复合标志灯</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8DC17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1.名称：A型双面多信息复合标志灯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2.规格：LED 1W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3.安装方式：底边离地2.5m吊装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B88B5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BF3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r>
      <w:tr w14:paraId="214E9218">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91D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C6692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吸顶应急照明</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C3D7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1.名称：集中电源集中控制型消防应急标志灯具（A型）-吸顶应急照明</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2.型号：HY-ZFJC-5W系列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3.规格：LED光源，功能：巡检、照明、开灯、灭灯</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4.安装形式：吸顶式安装</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A241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F7A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w:t>
            </w:r>
          </w:p>
        </w:tc>
      </w:tr>
      <w:tr w14:paraId="2BEF880A">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89BF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D4CC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壁挂应急照明</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B3E5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1.名称：集中电源集中控</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2C4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6FAC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r>
      <w:tr w14:paraId="1A5E44DC">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14EF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A1E7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D27D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1.名称：电气配管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2.材质：JDG</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7D28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BC9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100.3</w:t>
            </w:r>
          </w:p>
        </w:tc>
      </w:tr>
      <w:tr w14:paraId="36494CC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C83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C511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D585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1.名称：电气配管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2.材质：JDG</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3.规格：20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B74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0CB8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100.3</w:t>
            </w:r>
          </w:p>
        </w:tc>
      </w:tr>
      <w:tr w14:paraId="2EFF6FF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EE49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354C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接线盒</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9E2A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1.名称：接线盒</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2.材质：钢质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3.规格：86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4.安装形式：综合考虑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1CFE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61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w:t>
            </w:r>
          </w:p>
        </w:tc>
      </w:tr>
      <w:tr w14:paraId="333250A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A642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1062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铁构件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A577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1.名称：一般铁构件制安</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2.材质：镀锌型材</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0F85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96A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3483.75</w:t>
            </w:r>
          </w:p>
        </w:tc>
      </w:tr>
      <w:tr w14:paraId="5CCC1E3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D8FF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4A86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6ED2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2.配线形式：综合考虑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3.型号：NH-BV-2*2.5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7DBA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FB55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2574.6</w:t>
            </w:r>
          </w:p>
        </w:tc>
      </w:tr>
      <w:tr w14:paraId="04E670B6">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0ACE872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F12</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7D2CE37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自动报警系统</w:t>
            </w:r>
          </w:p>
        </w:tc>
      </w:tr>
      <w:tr w14:paraId="26DD7B52">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C6B08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077C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带消防电话插孔的手动火灾报警按钮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5B86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1.名称：手动火灾报警按钮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2.规格、型号：带电话插孔</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6F75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8BE3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w:t>
            </w:r>
          </w:p>
        </w:tc>
      </w:tr>
      <w:tr w14:paraId="212616D3">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0B379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C60D2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钢制桥架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9216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1.名称：钢制桥架-200*100 2.材质：热镀锌金属强电桥架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E1F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0C8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323.91</w:t>
            </w:r>
          </w:p>
        </w:tc>
      </w:tr>
      <w:tr w14:paraId="0674F8B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D0D3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9995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火灾声光报警器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4C3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1.名称：火灾声光警报器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2.规格、型号：非防爆型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65C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C03F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w:t>
            </w:r>
          </w:p>
        </w:tc>
      </w:tr>
      <w:tr w14:paraId="0DA7A38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34B0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306F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消火栓按钮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7F93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1.名称：消火栓按钮</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2.规格、型号：非防爆型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5D5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0AA5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53</w:t>
            </w:r>
          </w:p>
        </w:tc>
      </w:tr>
      <w:tr w14:paraId="1B5AE98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3B96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25FF8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消防应急广播</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D53B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1.名称：消防分机</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2.规格：3W</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3.安装形式：吸顶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A501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993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w:t>
            </w:r>
          </w:p>
        </w:tc>
      </w:tr>
      <w:tr w14:paraId="78DB7224">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42C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02A2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点型光电感烟火灾探测器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A2F7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1.名称：点型光电感烟火灾探测器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3.安装形式：吸顶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877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760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223</w:t>
            </w:r>
          </w:p>
        </w:tc>
      </w:tr>
      <w:tr w14:paraId="76D2B15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B02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DB76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点型感温火灾探测器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EB21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1.名称：点型感温火灾探测器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3.安装形式：吸顶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1E20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512B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141</w:t>
            </w:r>
          </w:p>
        </w:tc>
      </w:tr>
      <w:tr w14:paraId="239E63F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6437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08A7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输入/输出模块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95D4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1.名称：输入/输出模块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2.规格、型号：综合考虑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D3D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48BA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r>
      <w:tr w14:paraId="5184AF89">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7C0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3CEB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常闭防火门监控模块</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4216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1.名称：常闭防火门监控模块</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2.规格：FHM1</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528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651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w:t>
            </w:r>
          </w:p>
        </w:tc>
      </w:tr>
      <w:tr w14:paraId="5DD35D2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FCFE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2DA3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FBE51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2.配线形式：综合考虑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3.型号：WDZC-BYJ2.5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8AC3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2774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3B97C2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64B1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73E7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CDB7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2.配线形式：综合考虑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 xml:space="preserve">3.型号：WDZBN-RYS-2x1.5  </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474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14E0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3694.92</w:t>
            </w:r>
          </w:p>
        </w:tc>
      </w:tr>
      <w:tr w14:paraId="59C4DF82">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A11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402A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F1CD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2.配线形式：综合考虑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3.型号：WDZBN-RYS-4x2.5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8764A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2D4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98.8</w:t>
            </w:r>
          </w:p>
        </w:tc>
      </w:tr>
      <w:tr w14:paraId="7653F53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590F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EF5A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985E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2.配线形式：综合考虑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3.型号：WDZBN-RYYPS-2x1.5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A5A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4BF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785.36</w:t>
            </w:r>
          </w:p>
        </w:tc>
      </w:tr>
      <w:tr w14:paraId="4257DEB6">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EA9E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7099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CAF2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2.配线形式：综合考虑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3.型号：WDZBN-KYJY-4x1.5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B783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A6E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45.3</w:t>
            </w:r>
          </w:p>
        </w:tc>
      </w:tr>
      <w:tr w14:paraId="70E776C3">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9E87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F9F6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192C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1.名称：配线</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2.配线形式：综合考虑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3.型号：WDZBN-BYJ-2x2.5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A02A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5DB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1677</w:t>
            </w:r>
          </w:p>
        </w:tc>
      </w:tr>
      <w:tr w14:paraId="170B44EE">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9086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51FC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AF64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1.名称：电气配管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2.材质：JDG</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3.规格：25</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8303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612E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100.3</w:t>
            </w:r>
          </w:p>
        </w:tc>
      </w:tr>
      <w:tr w14:paraId="3CD98228">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0B65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3F99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配管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D979D">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1.名称：电气配管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2.材质：JDG</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3.规格：20</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32B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96F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2602</w:t>
            </w:r>
          </w:p>
        </w:tc>
      </w:tr>
      <w:tr w14:paraId="1C5FD82D">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C74C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9933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铁构件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6A76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1.名称：一般铁构件制安</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2.材质：镀锌型材</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65E9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4903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3483.75</w:t>
            </w:r>
          </w:p>
        </w:tc>
      </w:tr>
      <w:tr w14:paraId="062CE93B">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99A8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3036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接线盒</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D714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1.名称：接线盒</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2.材质：钢质</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3.规格：86</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4.安装形式：综合考虑</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0D11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88D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490</w:t>
            </w:r>
          </w:p>
        </w:tc>
      </w:tr>
      <w:tr w14:paraId="428EC52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2AC6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6094E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抗震支架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4BC2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2.管架形式：详见图纸给排水、消防抗震设计说明 ，需满足GB50981-2014《建筑机电工程抗震设计规范》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5A78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BC2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435</w:t>
            </w:r>
          </w:p>
        </w:tc>
      </w:tr>
      <w:tr w14:paraId="191317B8">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6013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C204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自动报警系统调试</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61E3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1.含自动报警系统调试，广播、电话、消防电梯等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395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系统</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B342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73F62E6E">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2ED7A12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F13</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722CD58">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消火栓系统</w:t>
            </w:r>
          </w:p>
        </w:tc>
      </w:tr>
      <w:tr w14:paraId="6BCB00FE">
        <w:tblPrEx>
          <w:tblCellMar>
            <w:top w:w="0" w:type="dxa"/>
            <w:left w:w="108" w:type="dxa"/>
            <w:bottom w:w="0" w:type="dxa"/>
            <w:right w:w="108" w:type="dxa"/>
          </w:tblCellMar>
        </w:tblPrEx>
        <w:trPr>
          <w:trHeight w:val="9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B80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2561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消火栓钢管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79EC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3.连接形式：机械沟槽连接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1AC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D703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429.82</w:t>
            </w:r>
          </w:p>
        </w:tc>
      </w:tr>
      <w:tr w14:paraId="103B1C73">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13D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B1BE7">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消火栓钢管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CE04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3.连接形式：机械沟槽连接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92FE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D2F2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192.5</w:t>
            </w:r>
          </w:p>
        </w:tc>
      </w:tr>
      <w:tr w14:paraId="40AA34DF">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98F7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70F4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消火栓钢管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B1598">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3.连接形式：机械沟槽连接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A483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B734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14.6</w:t>
            </w:r>
          </w:p>
        </w:tc>
      </w:tr>
      <w:tr w14:paraId="20FF1AB9">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034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89F6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75F4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4.连接形式：法兰（含配套卡箍、法兰及紧固件）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ADC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CBA9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r>
      <w:tr w14:paraId="26AE93FE">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2D37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26D6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61C58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4.连接形式：法兰（含配套卡箍、法兰及紧固件）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D4CC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D7A8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r>
      <w:tr w14:paraId="17383F23">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03BA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C0A54">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B646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4.连接形式：法兰（含配套卡箍、法兰及紧固件）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70A8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ACD6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BF66390">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0237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E26E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自动排气阀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7944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1.类型：自动排气阀</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AB66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6188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132CE7B">
        <w:tblPrEx>
          <w:tblCellMar>
            <w:top w:w="0" w:type="dxa"/>
            <w:left w:w="108" w:type="dxa"/>
            <w:bottom w:w="0" w:type="dxa"/>
            <w:right w:w="108" w:type="dxa"/>
          </w:tblCellMar>
        </w:tblPrEx>
        <w:trPr>
          <w:trHeight w:val="81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BC0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ECE7F">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减压稳压室内消火栓</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BA1E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1.安装方式：暗装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2.型号、规格：不锈钢门框，规格为700（L）x240（W）X1800（H）</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3.附件材质、规格：箱内均配置：φ65室内消火栓一</w:t>
            </w:r>
            <w:r>
              <w:rPr>
                <w:rFonts w:hint="eastAsia" w:ascii="宋体" w:hAnsi="宋体" w:eastAsia="宋体" w:cs="宋体"/>
                <w:color w:val="auto"/>
                <w:kern w:val="0"/>
                <w:sz w:val="24"/>
                <w:szCs w:val="24"/>
                <w:highlight w:val="none"/>
                <w:lang w:eastAsia="zh-CN" w:bidi="ar"/>
              </w:rPr>
              <w:t>支</w:t>
            </w:r>
            <w:r>
              <w:rPr>
                <w:rFonts w:hint="eastAsia" w:ascii="宋体" w:hAnsi="宋体" w:eastAsia="宋体" w:cs="宋体"/>
                <w:color w:val="auto"/>
                <w:kern w:val="0"/>
                <w:sz w:val="24"/>
                <w:szCs w:val="24"/>
                <w:highlight w:val="none"/>
                <w:lang w:bidi="ar"/>
              </w:rPr>
              <w:t>，φ65长25M锦纶衬胶水带一卷，φ19口径水枪一支，DN25消防软管卷盘，栓口一只，内径φ19长30M灭火喉卷一盘，</w:t>
            </w:r>
            <w:r>
              <w:rPr>
                <w:rFonts w:hint="eastAsia" w:ascii="宋体" w:hAnsi="宋体" w:eastAsia="宋体" w:cs="宋体"/>
                <w:color w:val="auto"/>
                <w:kern w:val="0"/>
                <w:sz w:val="24"/>
                <w:szCs w:val="24"/>
                <w:highlight w:val="none"/>
                <w:lang w:eastAsia="zh-CN" w:bidi="ar"/>
              </w:rPr>
              <w:t>喷嘴</w:t>
            </w:r>
            <w:r>
              <w:rPr>
                <w:rFonts w:hint="eastAsia" w:ascii="宋体" w:hAnsi="宋体" w:eastAsia="宋体" w:cs="宋体"/>
                <w:color w:val="auto"/>
                <w:kern w:val="0"/>
                <w:sz w:val="24"/>
                <w:szCs w:val="24"/>
                <w:highlight w:val="none"/>
                <w:lang w:bidi="ar"/>
              </w:rPr>
              <w:t>口径为不小于6mm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4.灭火器要求：内设5</w:t>
            </w:r>
            <w:r>
              <w:rPr>
                <w:rFonts w:hint="eastAsia" w:ascii="宋体" w:hAnsi="宋体" w:eastAsia="宋体" w:cs="宋体"/>
                <w:color w:val="auto"/>
                <w:kern w:val="0"/>
                <w:sz w:val="24"/>
                <w:szCs w:val="24"/>
                <w:highlight w:val="none"/>
                <w:lang w:eastAsia="zh-CN" w:bidi="ar"/>
              </w:rPr>
              <w:t>kg</w:t>
            </w:r>
            <w:r>
              <w:rPr>
                <w:rFonts w:hint="eastAsia" w:ascii="宋体" w:hAnsi="宋体" w:eastAsia="宋体" w:cs="宋体"/>
                <w:color w:val="auto"/>
                <w:kern w:val="0"/>
                <w:sz w:val="24"/>
                <w:szCs w:val="24"/>
                <w:highlight w:val="none"/>
                <w:lang w:bidi="ar"/>
              </w:rPr>
              <w:t>磷酸铵盐干粉灭火器两瓶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AA6B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0D3D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r>
      <w:tr w14:paraId="7F883E44">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557C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3DE5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灭火器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E1BF9">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1.形式：灭火器箱</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2.规格、型号：含手提式磷酸铵盐干粉灭火器（MFZ/ABC5，贮压式），2具，充装量5kg/具</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948C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43F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r>
      <w:tr w14:paraId="13EA7F27">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1061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E54C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E49C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1.名称、类型：刚性防水套管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3.规格：φ165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4.填料材质：按设计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5.其他：详参02S404-B型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1166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63A9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05D5346F">
        <w:tblPrEx>
          <w:tblCellMar>
            <w:top w:w="0" w:type="dxa"/>
            <w:left w:w="108" w:type="dxa"/>
            <w:bottom w:w="0" w:type="dxa"/>
            <w:right w:w="108" w:type="dxa"/>
          </w:tblCellMar>
        </w:tblPrEx>
        <w:trPr>
          <w:trHeight w:val="90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09FD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1E71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1801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1.材质：碳钢型钢支架制作、安装（型号综合考虑）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 一般管道支吊架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3.除锈刷漆：除锈后刷樟丹二道，银粉</w:t>
            </w:r>
            <w:r>
              <w:rPr>
                <w:rFonts w:hint="eastAsia" w:ascii="宋体" w:hAnsi="宋体" w:eastAsia="宋体" w:cs="宋体"/>
                <w:color w:val="auto"/>
                <w:kern w:val="0"/>
                <w:sz w:val="24"/>
                <w:szCs w:val="24"/>
                <w:highlight w:val="none"/>
                <w:lang w:eastAsia="zh-CN" w:bidi="ar"/>
              </w:rPr>
              <w:t>漆</w:t>
            </w:r>
            <w:r>
              <w:rPr>
                <w:rFonts w:hint="eastAsia" w:ascii="宋体" w:hAnsi="宋体" w:eastAsia="宋体" w:cs="宋体"/>
                <w:color w:val="auto"/>
                <w:kern w:val="0"/>
                <w:sz w:val="24"/>
                <w:szCs w:val="24"/>
                <w:highlight w:val="none"/>
                <w:lang w:bidi="ar"/>
              </w:rPr>
              <w:t>二道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4.管架形式及布置优化后需要经设计单位确认</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91AB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F606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265.83</w:t>
            </w:r>
          </w:p>
        </w:tc>
      </w:tr>
      <w:tr w14:paraId="782E51DD">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C9C9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7B83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抗震支架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20FF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2.管架形式：详见图纸给排水、消防抗震设计说明 ，需满足GB50981-2014《建筑机电工程抗震设计规范》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F474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E27A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315</w:t>
            </w:r>
          </w:p>
        </w:tc>
      </w:tr>
      <w:tr w14:paraId="56E2CD61">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D2D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FE20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水灭火控制装置调试</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F632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1.系统形式：消火栓系统调试</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2C7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8FCB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DE02592">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6C83DF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F14</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5F8AAB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水喷淋系统</w:t>
            </w:r>
          </w:p>
        </w:tc>
      </w:tr>
      <w:tr w14:paraId="0354F1D1">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8282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F2AE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喷淋喷头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2DF78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2.材质、型号、规格：DN25，标准响应喷头，流量系数K=80，动作温度68℃</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C000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DA6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758</w:t>
            </w:r>
          </w:p>
        </w:tc>
      </w:tr>
      <w:tr w14:paraId="546C3637">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CAAE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E42F8">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喷淋喷头</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75B22">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2.材质、型号、规格：DN25，标准响应喷头，流量系数K=80，动作温度93℃</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3.连接形式：螺纹连接</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A8B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D7BD6">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r>
      <w:tr w14:paraId="5862BCBB">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B847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1BBE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7C9B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3.连接形式：装配式卡压连接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09CE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2870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1533.42</w:t>
            </w:r>
          </w:p>
        </w:tc>
      </w:tr>
      <w:tr w14:paraId="19FDD87D">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5F78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C2C0D">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CB6D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2.材质、规格：热浸镀锌加厚钢管DN32</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3.连接形式：装配式卡压连接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B913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474D0">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553.8</w:t>
            </w:r>
          </w:p>
        </w:tc>
      </w:tr>
      <w:tr w14:paraId="32DF920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8400B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BA200">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315C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2.材质、规格：热浸镀锌加厚钢管DN40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3.连接形式：装配式卡压连接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BF7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293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176.02</w:t>
            </w:r>
          </w:p>
        </w:tc>
      </w:tr>
      <w:tr w14:paraId="5915EB6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8E86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5CB95">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DA0C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3.连接形式：装配式卡压连接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2DAF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DBF0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298.8</w:t>
            </w:r>
          </w:p>
        </w:tc>
      </w:tr>
      <w:tr w14:paraId="465460A5">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915C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5D17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83B65">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3.连接形式：机械沟槽连接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8354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4A81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136.54</w:t>
            </w:r>
          </w:p>
        </w:tc>
      </w:tr>
      <w:tr w14:paraId="540B90EC">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A35D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8C8D2">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72CB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2.材质、规格：热浸镀锌加厚钢管DN80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3.连接形式：机械沟槽连接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B9EB2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98A1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99.2</w:t>
            </w:r>
          </w:p>
        </w:tc>
      </w:tr>
      <w:tr w14:paraId="18E74FF7">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5362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9045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91F7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2.材质、规格：热浸镀锌加厚钢管DN100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3.连接形式：机械沟槽连接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2691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B1B1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161.9</w:t>
            </w:r>
          </w:p>
        </w:tc>
      </w:tr>
      <w:tr w14:paraId="0496AF22">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617B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2049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水喷淋钢管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45A9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1.安装部位：室内</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2.材质、规格：热浸镀锌加厚钢管DN150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3.连接形式：机械沟槽连接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4.压力试验及冲洗设计要求：按设计及验收规范进行</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5.其他：含配套管件、紧固件等</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EB14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m</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5DD0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143.1</w:t>
            </w:r>
          </w:p>
        </w:tc>
      </w:tr>
      <w:tr w14:paraId="1D826D2B">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450A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6AC1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不锈钢减压孔板</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04A2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1.规格、型号：减压孔板DN150，直径52mm</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2.连接形式：法兰（含配套卡箍、法兰及紧固件）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7AC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33D0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130551DF">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9FD9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144</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64D50B">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水流指示器</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E976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1.规格、型号 水流指示器DN150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2.连接形式：法兰（含</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D1B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944C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61A404D8">
        <w:tblPrEx>
          <w:tblCellMar>
            <w:top w:w="0" w:type="dxa"/>
            <w:left w:w="108" w:type="dxa"/>
            <w:bottom w:w="0" w:type="dxa"/>
            <w:right w:w="108" w:type="dxa"/>
          </w:tblCellMar>
        </w:tblPrEx>
        <w:trPr>
          <w:trHeight w:val="78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6133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35A0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信号阀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5A90B">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1.规格、型号 信号阀DN150</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2.连接形式：法兰（含配套卡箍、法兰及紧固件）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EA5B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0DF6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r>
      <w:tr w14:paraId="65BE4A63">
        <w:tblPrEx>
          <w:tblCellMar>
            <w:top w:w="0" w:type="dxa"/>
            <w:left w:w="108" w:type="dxa"/>
            <w:bottom w:w="0" w:type="dxa"/>
            <w:right w:w="108" w:type="dxa"/>
          </w:tblCellMar>
        </w:tblPrEx>
        <w:trPr>
          <w:trHeight w:val="102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D739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EAC59">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沟槽蝶阀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4BB6C">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1.类型：蝶阀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3.规格、压力等级：DN65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4.连接形式：法兰（含配套卡箍、法兰及紧固件）</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4917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07EC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r>
      <w:tr w14:paraId="53539591">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B6848">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147</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3085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自动排气阀</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5CF5B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1.类型：自动排气阀</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3.规格、压力等级：DN25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4.连接形式：螺纹连接</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5.其他：含同规格手动阀</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80EE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DE8F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334E0F00">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8576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148</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A2CCA">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末端试水装置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D3E5F">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1.类型：末端试水装置DN25</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2.组装形式：试水阀、压力表、试水接头（K=80）、排水漏斗组成等详见图纸</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3.安装高度：1.5m</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48FC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组</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79ABC">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r>
      <w:tr w14:paraId="3DED4596">
        <w:tblPrEx>
          <w:tblCellMar>
            <w:top w:w="0" w:type="dxa"/>
            <w:left w:w="108" w:type="dxa"/>
            <w:bottom w:w="0" w:type="dxa"/>
            <w:right w:w="108" w:type="dxa"/>
          </w:tblCellMar>
        </w:tblPrEx>
        <w:trPr>
          <w:trHeight w:val="36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CBDD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149</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F3DD3">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管道支架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1A06A">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1.材质：碳钢型钢支架制作、安装（型号综合考虑）</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 一般管道支吊架</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3.除锈刷漆：除锈后刷樟丹二道，银粉漆漆二道</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4.管架形式及布置优化后需要经设计单位确认</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FC17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9E4B7">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1215.68</w:t>
            </w:r>
          </w:p>
        </w:tc>
      </w:tr>
      <w:tr w14:paraId="580B5EB5">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71603">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A850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抗震支架</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3F48E">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2.管架形式：详见图纸给排水、消防抗震设计说明，需满足GB50981-2014《建筑机电工程抗震设计规范》</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78E0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kg</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D119B">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1125</w:t>
            </w:r>
          </w:p>
        </w:tc>
      </w:tr>
      <w:tr w14:paraId="3AA47EC7">
        <w:tblPrEx>
          <w:tblCellMar>
            <w:top w:w="0" w:type="dxa"/>
            <w:left w:w="108" w:type="dxa"/>
            <w:bottom w:w="0" w:type="dxa"/>
            <w:right w:w="108" w:type="dxa"/>
          </w:tblCellMar>
        </w:tblPrEx>
        <w:trPr>
          <w:trHeight w:val="112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19CD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151</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353CE">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75F80">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1.名称、类型：刚性防水套管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3.规格：φ168</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4.填料材质：按设计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5.其他：详参02S404-B型</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DF79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69EA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888F239">
        <w:tblPrEx>
          <w:tblCellMar>
            <w:top w:w="0" w:type="dxa"/>
            <w:left w:w="108" w:type="dxa"/>
            <w:bottom w:w="0" w:type="dxa"/>
            <w:right w:w="108" w:type="dxa"/>
          </w:tblCellMar>
        </w:tblPrEx>
        <w:trPr>
          <w:trHeight w:val="675"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EE17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152</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F596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套管</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5C181">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1.名称、类型：刚性防水套管</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2.材质：碳钢</w:t>
            </w:r>
            <w:r>
              <w:rPr>
                <w:rFonts w:hint="eastAsia" w:ascii="宋体" w:hAnsi="宋体" w:eastAsia="宋体" w:cs="宋体"/>
                <w:color w:val="auto"/>
                <w:kern w:val="0"/>
                <w:sz w:val="24"/>
                <w:szCs w:val="24"/>
                <w:highlight w:val="none"/>
                <w:lang w:bidi="ar"/>
              </w:rPr>
              <w:br w:type="textWrapping"/>
            </w:r>
            <w:r>
              <w:rPr>
                <w:rFonts w:hint="eastAsia" w:ascii="宋体" w:hAnsi="宋体" w:eastAsia="宋体" w:cs="宋体"/>
                <w:color w:val="auto"/>
                <w:kern w:val="0"/>
                <w:sz w:val="24"/>
                <w:szCs w:val="24"/>
                <w:highlight w:val="none"/>
                <w:lang w:bidi="ar"/>
              </w:rPr>
              <w:t>3.规格：φ108</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BCF5E">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31DFF">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r>
      <w:tr w14:paraId="1A4D328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13414">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153</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1C62C">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水灭火控制装置调试</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BBCA6">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1.系统形式：喷淋系统调试</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F908A">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项</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98BA1">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62257C93">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180FE5F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F15</w:t>
            </w:r>
          </w:p>
        </w:tc>
        <w:tc>
          <w:tcPr>
            <w:tcW w:w="4595" w:type="pct"/>
            <w:gridSpan w:val="4"/>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503055D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气体灭火系统</w:t>
            </w:r>
          </w:p>
        </w:tc>
      </w:tr>
      <w:tr w14:paraId="798F03D5">
        <w:tblPrEx>
          <w:tblCellMar>
            <w:top w:w="0" w:type="dxa"/>
            <w:left w:w="108" w:type="dxa"/>
            <w:bottom w:w="0" w:type="dxa"/>
            <w:right w:w="108" w:type="dxa"/>
          </w:tblCellMar>
        </w:tblPrEx>
        <w:trPr>
          <w:trHeight w:val="45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50D9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155</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906F1">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无管网气体灭火装置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C04134">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无管网气体灭火装置</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BAF45">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8FB8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r w14:paraId="4CFEA2D8">
        <w:tblPrEx>
          <w:tblCellMar>
            <w:top w:w="0" w:type="dxa"/>
            <w:left w:w="108" w:type="dxa"/>
            <w:bottom w:w="0" w:type="dxa"/>
            <w:right w:w="108" w:type="dxa"/>
          </w:tblCellMar>
        </w:tblPrEx>
        <w:trPr>
          <w:trHeight w:val="270"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76EE2">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156</w:t>
            </w:r>
          </w:p>
        </w:tc>
        <w:tc>
          <w:tcPr>
            <w:tcW w:w="112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3CD96">
            <w:pPr>
              <w:widowControl/>
              <w:spacing w:line="360" w:lineRule="auto"/>
              <w:ind w:firstLine="120" w:firstLineChars="5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泄压装置</w:t>
            </w:r>
          </w:p>
        </w:tc>
        <w:tc>
          <w:tcPr>
            <w:tcW w:w="24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EBCD7">
            <w:pPr>
              <w:widowControl/>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泄压装置</w:t>
            </w:r>
          </w:p>
        </w:tc>
        <w:tc>
          <w:tcPr>
            <w:tcW w:w="4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57F739">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F73BD">
            <w:pPr>
              <w:widowControl/>
              <w:spacing w:line="360" w:lineRule="auto"/>
              <w:ind w:firstLine="120" w:firstLineChars="5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r>
    </w:tbl>
    <w:p w14:paraId="7FB52489">
      <w:pPr>
        <w:tabs>
          <w:tab w:val="left" w:pos="3093"/>
        </w:tabs>
        <w:spacing w:line="360" w:lineRule="auto"/>
        <w:ind w:firstLine="116" w:firstLineChars="50"/>
        <w:outlineLvl w:val="0"/>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注：</w:t>
      </w:r>
    </w:p>
    <w:p w14:paraId="3423A410">
      <w:pPr>
        <w:tabs>
          <w:tab w:val="left" w:pos="3093"/>
        </w:tabs>
        <w:spacing w:line="360" w:lineRule="auto"/>
        <w:ind w:firstLine="116" w:firstLineChars="50"/>
        <w:outlineLvl w:val="0"/>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1.本表所列工程量为预估量，投标人投标报价须结合深化设计编制，工程量可随深化设计调整，最终按实际实施量结算。</w:t>
      </w:r>
    </w:p>
    <w:p w14:paraId="21CD316E">
      <w:pPr>
        <w:tabs>
          <w:tab w:val="left" w:pos="3093"/>
        </w:tabs>
        <w:spacing w:line="360" w:lineRule="auto"/>
        <w:ind w:firstLine="116" w:firstLineChars="50"/>
        <w:outlineLvl w:val="0"/>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2.本表载明的参数与要求为最低基本要求，投标人所投产品技术参数须不低于本表标准，鼓励优于本表参数响应。</w:t>
      </w:r>
    </w:p>
    <w:p w14:paraId="54B368D1">
      <w:pPr>
        <w:tabs>
          <w:tab w:val="left" w:pos="3093"/>
        </w:tabs>
        <w:spacing w:line="360" w:lineRule="auto"/>
        <w:ind w:firstLine="137" w:firstLineChars="50"/>
        <w:outlineLvl w:val="0"/>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rPr>
        <w:t>四、主要技术参数及要求</w:t>
      </w:r>
    </w:p>
    <w:p w14:paraId="6C2962D8">
      <w:pPr>
        <w:tabs>
          <w:tab w:val="left" w:pos="3093"/>
        </w:tabs>
        <w:spacing w:line="360" w:lineRule="auto"/>
        <w:outlineLvl w:val="0"/>
        <w:rPr>
          <w:rFonts w:hint="eastAsia" w:ascii="宋体" w:hAnsi="宋体" w:eastAsia="宋体" w:cs="宋体"/>
          <w:bCs/>
          <w:color w:val="auto"/>
          <w:spacing w:val="-4"/>
          <w:sz w:val="24"/>
          <w:szCs w:val="24"/>
          <w:highlight w:val="none"/>
        </w:rPr>
      </w:pPr>
      <w:r>
        <w:rPr>
          <w:rFonts w:hint="eastAsia" w:ascii="宋体" w:hAnsi="宋体" w:eastAsia="宋体" w:cs="宋体"/>
          <w:b/>
          <w:bCs/>
          <w:color w:val="auto"/>
          <w:spacing w:val="-4"/>
          <w:sz w:val="24"/>
          <w:szCs w:val="24"/>
          <w:highlight w:val="none"/>
        </w:rPr>
        <w:t>（一）工艺设备</w:t>
      </w:r>
      <w:r>
        <w:rPr>
          <w:rFonts w:hint="eastAsia" w:ascii="宋体" w:hAnsi="宋体" w:eastAsia="宋体" w:cs="宋体"/>
          <w:b/>
          <w:bCs/>
          <w:color w:val="auto"/>
          <w:spacing w:val="-4"/>
          <w:sz w:val="24"/>
          <w:szCs w:val="24"/>
          <w:highlight w:val="none"/>
        </w:rPr>
        <w:tab/>
      </w:r>
    </w:p>
    <w:p w14:paraId="4CC87150">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33" w:name="_Toc22745"/>
      <w:r>
        <w:rPr>
          <w:rFonts w:hint="eastAsia" w:ascii="宋体" w:hAnsi="宋体" w:eastAsia="宋体" w:cs="宋体"/>
          <w:b/>
          <w:bCs/>
          <w:color w:val="auto"/>
          <w:sz w:val="24"/>
          <w:szCs w:val="24"/>
          <w:highlight w:val="none"/>
          <w:lang w:eastAsia="zh-CN"/>
        </w:rPr>
        <w:t>1.</w:t>
      </w:r>
      <w:r>
        <w:rPr>
          <w:rFonts w:hint="eastAsia" w:ascii="宋体" w:hAnsi="宋体" w:eastAsia="宋体" w:cs="宋体"/>
          <w:b/>
          <w:bCs/>
          <w:color w:val="auto"/>
          <w:sz w:val="24"/>
          <w:szCs w:val="24"/>
          <w:highlight w:val="none"/>
        </w:rPr>
        <w:t>氙光传递窗</w:t>
      </w:r>
      <w:bookmarkEnd w:id="133"/>
    </w:p>
    <w:p w14:paraId="2D50DA7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（1）功能作用：安装在洁净区与非洁净区之间，使物料传递时间≤3min，用于对被传递物品或带有活体动物的转运笼具表面进行快速消杀，避免病原微生物在各区域之间传播。</w:t>
      </w:r>
    </w:p>
    <w:p w14:paraId="0F2269B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（2）消毒因子：由高能脉冲氙光灯管产生的高强度脉冲强光紫外线。</w:t>
      </w:r>
    </w:p>
    <w:p w14:paraId="59F401C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灯管布置方式：舱内顶部不少于1支防水高能氙灯，灯管发光长度≥560mm，灯管直径≥60mm；舱内双侧面各不少于3支防水高能脉冲氙灯，舱内底面不少于3支防水高能脉冲氙灯，且每个面上高能脉冲氙灯有效发光长度合计≥540mm。</w:t>
      </w:r>
    </w:p>
    <w:p w14:paraId="362CB96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高能氙灯紫外辐射照度：距高能氙光灯管发光表面1000mm处紫外辐射照度值≥1000μW/cm²，距高能氙光灯管150mm处紫外辐射照度值≥12750μW/cm²，提供具有CMA或CNAS资质的第三方检测报告，报告内应有具体的紫外辐射照度值。</w:t>
      </w:r>
    </w:p>
    <w:p w14:paraId="0D2C3F2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（5）舱内紫外辐射照度：传递窗内部正中间距上表面40cm处，测量的紫外辐射照度值＞8mw/cm²。</w:t>
      </w:r>
    </w:p>
    <w:p w14:paraId="2C48A39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（6）细菌杀菌效率：作用3min，对金黄色葡萄球菌、大肠杆菌等常见细菌的杀灭对数值＞3。提供消毒因子为脉冲强光的高通量氙光传递窗的具有CMA或CNAS资质的第三方检测报告，并标注清楚结果数值。</w:t>
      </w:r>
    </w:p>
    <w:p w14:paraId="0016750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▲（7）细菌杀灭效率：消毒作用3min，对铜绿假单胞菌、龟分枝杆菌脓肿亚种、白色葡萄球菌、金黄色葡萄球菌、大肠杆菌的杀灭对数值＞3。真菌杀菌效率：消毒作用3min，对</w:t>
      </w:r>
      <w:r>
        <w:rPr>
          <w:rFonts w:hint="eastAsia" w:ascii="宋体" w:hAnsi="宋体" w:eastAsia="宋体" w:cs="宋体"/>
          <w:color w:val="auto"/>
          <w:sz w:val="24"/>
          <w:szCs w:val="24"/>
          <w:highlight w:val="none"/>
          <w:lang w:eastAsia="zh-CN"/>
        </w:rPr>
        <w:t>白念珠菌</w:t>
      </w:r>
      <w:r>
        <w:rPr>
          <w:rFonts w:hint="eastAsia" w:ascii="宋体" w:hAnsi="宋体" w:eastAsia="宋体" w:cs="宋体"/>
          <w:color w:val="auto"/>
          <w:sz w:val="24"/>
          <w:szCs w:val="24"/>
          <w:highlight w:val="none"/>
        </w:rPr>
        <w:t>的杀灭对数值＞3，病毒杀灭效率：消毒作用3min，对冠状病毒HCoV-229E、腺病毒Ad-5及甲型流感病毒H1N1的杀灭对数值均＞4。芽孢杀菌效率：消毒作用3min，对枯草杆菌黑色变种芽孢的杀灭对数值＞3；符合《消毒技术规范》（2002年版）的要求。提供具有CMA或CNAS资质的第三方检测报告，需体现且满足上述数值要求。</w:t>
      </w:r>
    </w:p>
    <w:p w14:paraId="5FF0105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（8）电气安全性能：产品具有电气防爆性能，提供不低于Ex db ⅡB T4 Gb防爆标志的产品防爆合格证。防水防尘要求：产品结构具有防水防尘性能，防护等级不低于IP65。</w:t>
      </w:r>
    </w:p>
    <w:p w14:paraId="19FB3E4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臭氧泄漏量：运行3min，按照GB/T28232-2011《臭氧发生器安全与卫生标准》进行检测，传递窗内臭氧浓度＜0.003mg/m³；符合GB/T18202-2000《室内空气中臭氧卫生标准》要求，即室内环境臭氧的1h平均容许浓度≤0.1mg/m³。</w:t>
      </w:r>
    </w:p>
    <w:p w14:paraId="42CD26F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（10）灯管衰减时间：灯管辐照维持率＜85%的运行时间不少于2000小时。</w:t>
      </w:r>
    </w:p>
    <w:p w14:paraId="34BF47E4">
      <w:pPr>
        <w:numPr>
          <w:ilvl w:val="0"/>
          <w:numId w:val="6"/>
        </w:num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紫外穿透性：产生的紫外线不应穿透玻璃容器，不能对玻璃瓶内的生物活性物质造成影响。</w:t>
      </w:r>
    </w:p>
    <w:p w14:paraId="6D4F6635">
      <w:pPr>
        <w:numPr>
          <w:ilvl w:val="0"/>
          <w:numId w:val="6"/>
        </w:num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自净功能：传递窗采用内循环方式自净，无需外接管道，换气次数＞20次/小时，内外均安装机械压差表以随时监测高效过滤器的堵塞情况。</w:t>
      </w:r>
    </w:p>
    <w:p w14:paraId="2167F09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（13）应急手动开关：传递窗应配备应急手动开关，正常状态采用DDC控制系统，故障应急状态可以手动控制传递窗启停。</w:t>
      </w:r>
    </w:p>
    <w:p w14:paraId="4C51E9B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（14）内部照明系统：传递窗内部安装LED灯光源，采用智能节能控制，消毒完成时灯亮，取出物品后自动熄灭，便于观察消毒物品状态。</w:t>
      </w:r>
    </w:p>
    <w:p w14:paraId="5D0CB12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设备舱体：舱体内腔面全部采用镜面等级为12K的不低于SUS304不锈钢镜面抛光板，并采用≥R25大圆弧角设计，无清洗消毒死角；传递窗底面应设置高度≥50mm的不低于SUS304不锈钢格栅置物架，以确保舱内底面高能脉冲氙灯光线可照射到物料底面。</w:t>
      </w:r>
    </w:p>
    <w:p w14:paraId="10C7060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灯壳结构要求：舱内高能氙灯和高能脉冲氙灯的灯壳全部采用不影响物料通过的嵌入式结构，灯壳断面为梯形结构且长边向外，灯壳内壁全部采用镜面等级为12K的不低于SUS304不锈钢镜面抛光板，以增加紫外线反射及折射效率。</w:t>
      </w:r>
    </w:p>
    <w:p w14:paraId="4808364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（17）外部工艺：内外门采用嵌入式压紧密封门，壳体为一体式结构，外表面无拼接缝，便于清洁。舱门观察窗采用具备3C认证的防紫外钢化玻璃，玻璃应具备可视且同时具有保护视力功能。</w:t>
      </w:r>
    </w:p>
    <w:p w14:paraId="263C341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（18）负荷参数要求：重量≤200</w:t>
      </w:r>
      <w:r>
        <w:rPr>
          <w:rFonts w:hint="eastAsia" w:ascii="宋体" w:hAnsi="宋体" w:eastAsia="宋体" w:cs="宋体"/>
          <w:color w:val="auto"/>
          <w:sz w:val="24"/>
          <w:szCs w:val="24"/>
          <w:highlight w:val="none"/>
          <w:lang w:eastAsia="zh-CN"/>
        </w:rPr>
        <w:t>kg</w:t>
      </w:r>
      <w:r>
        <w:rPr>
          <w:rFonts w:hint="eastAsia" w:ascii="宋体" w:hAnsi="宋体" w:eastAsia="宋体" w:cs="宋体"/>
          <w:color w:val="auto"/>
          <w:sz w:val="24"/>
          <w:szCs w:val="24"/>
          <w:highlight w:val="none"/>
        </w:rPr>
        <w:t>，功率≤350W，电源应为AC 220V/50Hz。</w:t>
      </w:r>
    </w:p>
    <w:p w14:paraId="0CF84D8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（19）互锁装置：采用电子互锁和机械锁。</w:t>
      </w:r>
    </w:p>
    <w:p w14:paraId="18AECF5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（20）隔断功能：设备本身应具有隔断功能，以防出现设备维修时设备前后方贯通的情况。</w:t>
      </w:r>
    </w:p>
    <w:p w14:paraId="1F0C93B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（21）控制方式：采用DDC控制，≥5寸彩色触摸屏，可单独设置消毒、自净时间，并具有操作权限保护功能。提供触摸屏上相关功能操作界面实物照片。</w:t>
      </w:r>
    </w:p>
    <w:p w14:paraId="21292667">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w w:val="180"/>
          <w:sz w:val="24"/>
          <w:szCs w:val="24"/>
          <w:highlight w:val="none"/>
        </w:rPr>
      </w:pPr>
      <w:bookmarkStart w:id="134" w:name="_Toc31062"/>
      <w:r>
        <w:rPr>
          <w:rFonts w:hint="eastAsia" w:ascii="宋体" w:hAnsi="宋体" w:eastAsia="宋体" w:cs="宋体"/>
          <w:b/>
          <w:bCs/>
          <w:color w:val="auto"/>
          <w:sz w:val="24"/>
          <w:szCs w:val="24"/>
          <w:highlight w:val="none"/>
          <w:lang w:eastAsia="zh-CN"/>
        </w:rPr>
        <w:t>2.</w:t>
      </w:r>
      <w:r>
        <w:rPr>
          <w:rFonts w:hint="eastAsia" w:ascii="宋体" w:hAnsi="宋体" w:eastAsia="宋体" w:cs="宋体"/>
          <w:b/>
          <w:bCs/>
          <w:color w:val="auto"/>
          <w:sz w:val="24"/>
          <w:szCs w:val="24"/>
          <w:highlight w:val="none"/>
        </w:rPr>
        <w:t>一体扰流喷淋除臭设备</w:t>
      </w:r>
      <w:bookmarkEnd w:id="134"/>
      <w:r>
        <w:rPr>
          <w:rFonts w:hint="eastAsia" w:ascii="宋体" w:hAnsi="宋体" w:eastAsia="宋体" w:cs="宋体"/>
          <w:b/>
          <w:bCs/>
          <w:color w:val="auto"/>
          <w:w w:val="180"/>
          <w:sz w:val="24"/>
          <w:szCs w:val="24"/>
          <w:highlight w:val="none"/>
        </w:rPr>
        <w:t xml:space="preserve"> </w:t>
      </w:r>
    </w:p>
    <w:p w14:paraId="1047150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2.1、一体扰流喷淋除臭（普通型）+智能加药器</w:t>
      </w:r>
    </w:p>
    <w:p w14:paraId="6252BB1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（1）应用场景：用于实验动物设施外排尾气处理，安装在屋面排风机组负压段，因屋面安装空间及承重有限，除臭设备体积及外形尺寸不宜过大，无法使用传统喷淋塔或洗涤塔类大型工业类废气净化设备。</w:t>
      </w:r>
    </w:p>
    <w:p w14:paraId="1BA2C49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（2）设备功能：主要用于清除实验动物饲养过程中外排的氨气、硫化氢、臭气等恶臭污染物，维护实验动物设施周边环境空气质量，改善设施尾气对大气环境的影响。</w:t>
      </w:r>
    </w:p>
    <w:p w14:paraId="0006383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技术工艺：采用超亲水自清洁型纳米半导体光催化技术及膜式气液扰流净化技术（带智能加药器）相结合的处理工艺。功能段位（处理流程）包括导风段→自清洁光催化段→膜式气液扰流段（带智能加药器）→出风段。</w:t>
      </w:r>
    </w:p>
    <w:p w14:paraId="261CC91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（4）脱臭效果：</w:t>
      </w:r>
      <w:bookmarkStart w:id="135" w:name="_Hlk111472879"/>
      <w:r>
        <w:rPr>
          <w:rFonts w:hint="eastAsia" w:ascii="宋体" w:hAnsi="宋体" w:eastAsia="宋体" w:cs="宋体"/>
          <w:color w:val="auto"/>
          <w:sz w:val="24"/>
          <w:szCs w:val="24"/>
          <w:highlight w:val="none"/>
        </w:rPr>
        <w:t>处理后的排风口和周界恶臭污染物浓度均应满足以下规定限值，即：排风口臭气浓度≤1000，氨≤30mg/m³，硫化氢≤5mg/m³；周界臭气浓度≤20，氨≤1.5mg/m³，硫化氢≤0.06mg/m³</w:t>
      </w:r>
      <w:bookmarkEnd w:id="135"/>
      <w:r>
        <w:rPr>
          <w:rFonts w:hint="eastAsia" w:ascii="宋体" w:hAnsi="宋体" w:eastAsia="宋体" w:cs="宋体"/>
          <w:color w:val="auto"/>
          <w:sz w:val="24"/>
          <w:szCs w:val="24"/>
          <w:highlight w:val="none"/>
        </w:rPr>
        <w:t>。</w:t>
      </w:r>
    </w:p>
    <w:p w14:paraId="36B24D2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（5）氨气净化效率：在进风口氨气浓度在5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30mg/m³情况下，氨气净化效率应≥85%。</w:t>
      </w:r>
    </w:p>
    <w:p w14:paraId="0EEB6BF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（6）恶臭废气排放标准要求：设备出风口氨、硫化氢、三甲胺及臭气浓度的排放指标满足《恶臭污染物排放标准》（GB 14554-1993）表2恶臭污染物排放标准值要求。</w:t>
      </w:r>
    </w:p>
    <w:p w14:paraId="73B1714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（7）有机废气排放标准要求：设备出风口苯、二甲苯、甲醛及非甲烷总烃的排放指标满足《大气污染物综合排放标准》（GB 16297-1996）表2新污染源大气污染物排放限值二级要求。</w:t>
      </w:r>
    </w:p>
    <w:p w14:paraId="4111E85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废水排放：设备排放的废水应符合GB18918-2002《城镇污水处理厂污染物排放标准》。即氨氮≤5mg/L、化学需氧量≤50mg/L、五日生化需氧量≤10mg/L、pH值（6-9）、悬浮物≤10mg/L、总氮≤15mg/L、阴离子表面活性剂≤0.5mg/L、粪大肠菌群数≤10³ MPN/L、总磷≤0.5mg/L。</w:t>
      </w:r>
    </w:p>
    <w:p w14:paraId="46C8936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（9）臭氧排放：设备附近环境空气中臭氧浓度满足GB3095-2012《环境空气质量标准》规定的二级限值，即臭氧≤200μg/m³。</w:t>
      </w:r>
    </w:p>
    <w:p w14:paraId="2432651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（10）壳体材质力学性能要求：壳体材质为SUS304不锈钢，其抗拉强度Rm、规定塑性延伸强度 RP0.2、断后伸长率A、维氏硬度等均应符合GB/T3280-2015《不锈钢冷轧钢板和钢带》要求，即抗拉强度Rm≥515MPa，规定塑性延伸强度 RP0.2≥205MPa，断后伸长率A≥40%，维氏硬度≤210HV。</w:t>
      </w:r>
    </w:p>
    <w:p w14:paraId="5364049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▲（11）产品可靠性要求：获得中国质量认证中心颁发的中国环保产品认证证书，符合CQC51-439184-2017《环保设备 空气污染治理设备性能产品认证规则》或CQC51-449422-2018《工业废气处理净化装置环保认证规则》的规则要求，且证书中的申请人（委托企业）、制造商及</w:t>
      </w:r>
      <w:r>
        <w:rPr>
          <w:rFonts w:hint="eastAsia" w:ascii="宋体" w:hAnsi="宋体" w:eastAsia="宋体" w:cs="宋体"/>
          <w:color w:val="auto"/>
          <w:sz w:val="24"/>
          <w:szCs w:val="24"/>
          <w:highlight w:val="none"/>
          <w:lang w:eastAsia="zh-CN"/>
        </w:rPr>
        <w:t>生产商</w:t>
      </w:r>
      <w:r>
        <w:rPr>
          <w:rFonts w:hint="eastAsia" w:ascii="宋体" w:hAnsi="宋体" w:eastAsia="宋体" w:cs="宋体"/>
          <w:color w:val="auto"/>
          <w:sz w:val="24"/>
          <w:szCs w:val="24"/>
          <w:highlight w:val="none"/>
        </w:rPr>
        <w:t>（生产厂）应为同一家公司（或同一家公司的分公司），不接受委托生产、贴牌生产等模式。提供中国环保产品认证证书复印件（加盖投标人公章鲜章）及中国质量认证中心官网（https://www.cqc.com.cn/）证书查询截图。</w:t>
      </w:r>
    </w:p>
    <w:p w14:paraId="7718DD5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（12）规格要求：</w:t>
      </w:r>
    </w:p>
    <w:p w14:paraId="1C690D2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1）额定处理风量20000m³/h设备：最大边尺寸≤2800*1800*2200（长×宽×高，mm），工作重量≤1100</w:t>
      </w:r>
      <w:r>
        <w:rPr>
          <w:rFonts w:hint="eastAsia" w:ascii="宋体" w:hAnsi="宋体" w:eastAsia="宋体" w:cs="宋体"/>
          <w:color w:val="auto"/>
          <w:sz w:val="24"/>
          <w:szCs w:val="24"/>
          <w:highlight w:val="none"/>
          <w:lang w:eastAsia="zh-CN"/>
        </w:rPr>
        <w:t>kg</w:t>
      </w:r>
      <w:r>
        <w:rPr>
          <w:rFonts w:hint="eastAsia" w:ascii="宋体" w:hAnsi="宋体" w:eastAsia="宋体" w:cs="宋体"/>
          <w:color w:val="auto"/>
          <w:sz w:val="24"/>
          <w:szCs w:val="24"/>
          <w:highlight w:val="none"/>
        </w:rPr>
        <w:t>，风阻≤300Pa；提供产品手册相关页。</w:t>
      </w:r>
    </w:p>
    <w:p w14:paraId="7CBC58E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2）额定处理风量40000m³/h设备：380V供电，总功率≤14KW，耗水量≤1.2T/D；提供产品手册相关页。</w:t>
      </w:r>
    </w:p>
    <w:p w14:paraId="28F2CF8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3）额定处理风量50000m³/h设备：最大边尺寸≤4600*2400*2200（长×宽×高，mm），工作重量≤1900</w:t>
      </w:r>
      <w:r>
        <w:rPr>
          <w:rFonts w:hint="eastAsia" w:ascii="宋体" w:hAnsi="宋体" w:eastAsia="宋体" w:cs="宋体"/>
          <w:color w:val="auto"/>
          <w:sz w:val="24"/>
          <w:szCs w:val="24"/>
          <w:highlight w:val="none"/>
          <w:lang w:eastAsia="zh-CN"/>
        </w:rPr>
        <w:t>kg</w:t>
      </w:r>
      <w:r>
        <w:rPr>
          <w:rFonts w:hint="eastAsia" w:ascii="宋体" w:hAnsi="宋体" w:eastAsia="宋体" w:cs="宋体"/>
          <w:color w:val="auto"/>
          <w:sz w:val="24"/>
          <w:szCs w:val="24"/>
          <w:highlight w:val="none"/>
        </w:rPr>
        <w:t>，风阻≤600Pa；提供产品手册相关页。</w:t>
      </w:r>
    </w:p>
    <w:p w14:paraId="79B8C7A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（13）光催化材料具有亲水自清洁特性，最小接触角≤10°。</w:t>
      </w:r>
    </w:p>
    <w:p w14:paraId="0F12D9B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（14）纳米半导体光催化段的催化技术催化光源主要为波长365nm真空紫外灯，催化剂为MnOx-TiO₂。光催化段可在全开、开50%、全关之间选择，当设备自动化运行时，可设置夜间低能耗运行，白天全负荷运行。</w:t>
      </w:r>
    </w:p>
    <w:p w14:paraId="7D0C3AC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纳米半导体光催化段应为水平布置的多通道式结构，内置多组光催化模块，各光催化模块均与气流风向水平布置，气流竖直穿过模块。每组模块可单独取出检修或更换，模块外框为可拆卸结构，每组光催化模块配备不少于2支灯管和2块光催化板。</w:t>
      </w:r>
    </w:p>
    <w:p w14:paraId="30A28F9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（16）膜式气液扰流段用水量可根据实际情况智能化调节，以节约用水。</w:t>
      </w:r>
    </w:p>
    <w:p w14:paraId="6829F86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（17）超分子自清洁湿式扰流膜的质量吸水率≥100%。</w:t>
      </w:r>
    </w:p>
    <w:p w14:paraId="5F7FD1F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▲（18）产品安全性能要求：产品的安全要求、压力损失、气密性、运行噪声符合CQC51-439184-2017《环保设备 空气污染治理设备性能产品认证规则》或CQC51-449422-2018《工业废气处理净化装置环保认证规则》的规则要求，委托单位、受检单位及生产单位要为同一家公司（或同一家公司的分公司），不接受委托加工模式，不接受委托生产、贴牌生产等模式。提供国家认可的具有CMA或CNAS资质的第三方检测机构出具的带CMA标志的整机检测（监测、试验）报告复印件（加盖投标人公章鲜章），需体现且满足上述要求。</w:t>
      </w:r>
    </w:p>
    <w:p w14:paraId="3F0B889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智能加药器采用双路加药，可同时加两种不同药液；单个储液桶容量≥20L，储液桶材质为PP材质，加药器壳体为SUS304不锈钢材质。智能加药器控制由除臭设备总控制系统控制，日常运行可实现无人值守。智能加药器外形尺寸≤长600×宽300×高700（mm）。</w:t>
      </w:r>
    </w:p>
    <w:p w14:paraId="525D4F1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控制系统：设备应具备与排风机组联动功能，每台设备自带一套控制，触摸屏操作，可实时显示设备运行的水位、泵口水压状态、可根据水箱水质质量实现自动排水及补水，可实现自动加药；控制系统具备与楼宇中控系统进行通讯的接口，可供中控系统读取设备状态数据。</w:t>
      </w:r>
    </w:p>
    <w:p w14:paraId="7549CC8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（21）物联网云平台系统：应具备物联网云平台管理系统，可远程管理设备的运行情况，至少应具备设备运行监控、设备运行数据监控、设备运行报警信息提醒（微信、短信）、智能维保提示等功能。</w:t>
      </w:r>
    </w:p>
    <w:p w14:paraId="01C1477D">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36" w:name="_Toc3329"/>
      <w:r>
        <w:rPr>
          <w:rFonts w:hint="eastAsia" w:ascii="宋体" w:hAnsi="宋体" w:eastAsia="宋体" w:cs="宋体"/>
          <w:b/>
          <w:bCs/>
          <w:color w:val="auto"/>
          <w:sz w:val="24"/>
          <w:szCs w:val="24"/>
          <w:highlight w:val="none"/>
          <w:lang w:eastAsia="zh-CN"/>
        </w:rPr>
        <w:t>3.</w:t>
      </w:r>
      <w:r>
        <w:rPr>
          <w:rFonts w:hint="eastAsia" w:ascii="宋体" w:hAnsi="宋体" w:eastAsia="宋体" w:cs="宋体"/>
          <w:b/>
          <w:bCs/>
          <w:color w:val="auto"/>
          <w:sz w:val="24"/>
          <w:szCs w:val="24"/>
          <w:highlight w:val="none"/>
        </w:rPr>
        <w:t>风淋室</w:t>
      </w:r>
      <w:bookmarkEnd w:id="136"/>
    </w:p>
    <w:p w14:paraId="40523C5B">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3.1、产品名称：风淋室。</w:t>
      </w:r>
    </w:p>
    <w:p w14:paraId="77C3B3B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3.2、规格：单人双吹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内净尺寸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800W*900D*2000H</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双人双吹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内净尺寸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800W*1400D*2000H。</w:t>
      </w:r>
    </w:p>
    <w:p w14:paraId="11EFD45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3.3、箱体材质：不低于SUS304#（ t≧1.2mm）全不锈钢材质，内壁不锈钢，不锈钢单开门，手动开自动关门。</w:t>
      </w:r>
    </w:p>
    <w:p w14:paraId="3B17481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3.4、18只不锈钢（埋入式）吹淋风速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&gt;25m/s，微电脑控制系统，智能语音提示，LED显示吹淋时间（0-999S可调）。</w:t>
      </w:r>
    </w:p>
    <w:p w14:paraId="292867C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 2台离心风机：0.75</w:t>
      </w:r>
      <w:r>
        <w:rPr>
          <w:rFonts w:hint="eastAsia" w:ascii="宋体" w:hAnsi="宋体" w:eastAsia="宋体" w:cs="宋体"/>
          <w:color w:val="auto"/>
          <w:sz w:val="24"/>
          <w:szCs w:val="24"/>
          <w:highlight w:val="none"/>
          <w:lang w:eastAsia="zh-CN"/>
        </w:rPr>
        <w:t>kW</w:t>
      </w:r>
      <w:r>
        <w:rPr>
          <w:rFonts w:hint="eastAsia" w:ascii="宋体" w:hAnsi="宋体" w:eastAsia="宋体" w:cs="宋体"/>
          <w:color w:val="auto"/>
          <w:sz w:val="24"/>
          <w:szCs w:val="24"/>
          <w:highlight w:val="none"/>
        </w:rPr>
        <w:t>/台，3000风量，初效效率：G4 Filter+高效效率：H13，0.3um99.99%。</w:t>
      </w:r>
    </w:p>
    <w:p w14:paraId="575CB02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3.6、电源：380V，50</w:t>
      </w:r>
      <w:r>
        <w:rPr>
          <w:rFonts w:hint="eastAsia" w:ascii="宋体" w:hAnsi="宋体" w:eastAsia="宋体" w:cs="宋体"/>
          <w:color w:val="auto"/>
          <w:sz w:val="24"/>
          <w:szCs w:val="24"/>
          <w:highlight w:val="none"/>
          <w:lang w:eastAsia="zh-CN"/>
        </w:rPr>
        <w:t>Hz</w:t>
      </w:r>
      <w:r>
        <w:rPr>
          <w:rFonts w:hint="eastAsia" w:ascii="宋体" w:hAnsi="宋体" w:eastAsia="宋体" w:cs="宋体"/>
          <w:color w:val="auto"/>
          <w:sz w:val="24"/>
          <w:szCs w:val="24"/>
          <w:highlight w:val="none"/>
        </w:rPr>
        <w:t>三相五线，功率：1.5</w:t>
      </w:r>
      <w:r>
        <w:rPr>
          <w:rFonts w:hint="eastAsia" w:ascii="宋体" w:hAnsi="宋体" w:eastAsia="宋体" w:cs="宋体"/>
          <w:color w:val="auto"/>
          <w:sz w:val="24"/>
          <w:szCs w:val="24"/>
          <w:highlight w:val="none"/>
          <w:lang w:eastAsia="zh-CN"/>
        </w:rPr>
        <w:t>kW</w:t>
      </w:r>
      <w:r>
        <w:rPr>
          <w:rFonts w:hint="eastAsia" w:ascii="宋体" w:hAnsi="宋体" w:eastAsia="宋体" w:cs="宋体"/>
          <w:color w:val="auto"/>
          <w:sz w:val="24"/>
          <w:szCs w:val="24"/>
          <w:highlight w:val="none"/>
        </w:rPr>
        <w:t>/台。</w:t>
      </w:r>
    </w:p>
    <w:p w14:paraId="63A828B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3.7、照明灯具：LED灯具。</w:t>
      </w:r>
    </w:p>
    <w:p w14:paraId="487866D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3.8、双门互锁；LCJ电子互锁，闭门器。</w:t>
      </w:r>
    </w:p>
    <w:p w14:paraId="06C489F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3.9、需带光电开关、液晶蓝屏，照明延时、故障报警、急停按钮等。</w:t>
      </w:r>
    </w:p>
    <w:p w14:paraId="375981D1">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37" w:name="_Toc17996"/>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紫外传递窗</w:t>
      </w:r>
      <w:bookmarkEnd w:id="137"/>
    </w:p>
    <w:p w14:paraId="55A8295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4.1、规格：</w:t>
      </w:r>
      <w:r>
        <w:rPr>
          <w:rFonts w:hint="eastAsia" w:ascii="宋体" w:hAnsi="宋体" w:eastAsia="宋体" w:cs="宋体"/>
          <w:color w:val="auto"/>
          <w:kern w:val="0"/>
          <w:sz w:val="24"/>
          <w:szCs w:val="24"/>
          <w:highlight w:val="none"/>
          <w:lang w:bidi="ar"/>
        </w:rPr>
        <w:t>内净尺寸</w:t>
      </w:r>
      <w:r>
        <w:rPr>
          <w:rFonts w:hint="eastAsia" w:ascii="宋体" w:hAnsi="宋体" w:eastAsia="宋体" w:cs="宋体"/>
          <w:color w:val="auto"/>
          <w:sz w:val="24"/>
          <w:szCs w:val="24"/>
          <w:highlight w:val="none"/>
        </w:rPr>
        <w:t>：600W*600D*600H/800W*800D*800H。</w:t>
      </w:r>
    </w:p>
    <w:p w14:paraId="6C3EBAA7">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4.2、主体结构：箱体采用不锈钢板不低于SUS304#（t≧1.2mm）折弯制作.焊接平整.表面处理无焊接痕迹。 </w:t>
      </w:r>
    </w:p>
    <w:p w14:paraId="67DB6324">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4.3、内胆不锈钢不低于SUS304#材质，门采用双层中空玻璃嵌入式门体，内部四周角采用45度</w:t>
      </w:r>
      <w:r>
        <w:rPr>
          <w:rFonts w:hint="eastAsia" w:ascii="宋体" w:hAnsi="宋体" w:eastAsia="宋体" w:cs="宋体"/>
          <w:color w:val="auto"/>
          <w:sz w:val="24"/>
          <w:szCs w:val="24"/>
          <w:highlight w:val="none"/>
          <w:lang w:eastAsia="zh-CN"/>
        </w:rPr>
        <w:t>圆弧形</w:t>
      </w:r>
      <w:r>
        <w:rPr>
          <w:rFonts w:hint="eastAsia" w:ascii="宋体" w:hAnsi="宋体" w:eastAsia="宋体" w:cs="宋体"/>
          <w:color w:val="auto"/>
          <w:sz w:val="24"/>
          <w:szCs w:val="24"/>
          <w:highlight w:val="none"/>
        </w:rPr>
        <w:t>转解设计无卫生死角，防止尘埃容易清理。</w:t>
      </w:r>
    </w:p>
    <w:p w14:paraId="57F64B8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4.4、配按键式控制面板2套，互锁系统：电子互锁+倒计时控制装置，确保不能同时开启，配紫外杀菌灯（需符合最新型GMP标准）。</w:t>
      </w:r>
    </w:p>
    <w:p w14:paraId="5EC3613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4.5、传递窗受试物传递采用四面杀菌，实现传递窗上下左右四面全方位杀菌，每面一盏，合计四盏紫外杀菌灯；其他紫外传递采用三面杀菌，紫外灯带不锈钢格栅，格栅可拆。整体满足GLP标准要求。</w:t>
      </w:r>
    </w:p>
    <w:p w14:paraId="4CCFE16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4.6、时控面板做内置式。</w:t>
      </w:r>
    </w:p>
    <w:p w14:paraId="6759A0FD">
      <w:pPr>
        <w:spacing w:line="360" w:lineRule="auto"/>
        <w:ind w:firstLine="120" w:firstLineChars="50"/>
        <w:outlineLvl w:val="0"/>
        <w:rPr>
          <w:rFonts w:hint="eastAsia" w:ascii="宋体" w:hAnsi="宋体" w:eastAsia="宋体" w:cs="宋体"/>
          <w:bCs/>
          <w:color w:val="auto"/>
          <w:sz w:val="24"/>
          <w:szCs w:val="24"/>
          <w:highlight w:val="none"/>
        </w:rPr>
      </w:pPr>
      <w:bookmarkStart w:id="138" w:name="_Toc631"/>
      <w:r>
        <w:rPr>
          <w:rFonts w:hint="eastAsia" w:ascii="宋体" w:hAnsi="宋体" w:eastAsia="宋体" w:cs="宋体"/>
          <w:b/>
          <w:bCs/>
          <w:color w:val="auto"/>
          <w:sz w:val="24"/>
          <w:szCs w:val="24"/>
          <w:highlight w:val="none"/>
        </w:rPr>
        <w:t>（二）建筑装饰材料</w:t>
      </w:r>
      <w:bookmarkEnd w:id="138"/>
    </w:p>
    <w:p w14:paraId="5AD780D0">
      <w:pPr>
        <w:tabs>
          <w:tab w:val="left" w:pos="2160"/>
        </w:tabs>
        <w:autoSpaceDE w:val="0"/>
        <w:autoSpaceDN w:val="0"/>
        <w:adjustRightInd w:val="0"/>
        <w:spacing w:line="360" w:lineRule="auto"/>
        <w:ind w:firstLine="114" w:firstLineChars="50"/>
        <w:outlineLvl w:val="1"/>
        <w:rPr>
          <w:rFonts w:hint="eastAsia" w:ascii="宋体" w:hAnsi="宋体" w:eastAsia="宋体" w:cs="宋体"/>
          <w:b/>
          <w:bCs/>
          <w:color w:val="auto"/>
          <w:w w:val="95"/>
          <w:sz w:val="24"/>
          <w:szCs w:val="24"/>
          <w:highlight w:val="none"/>
        </w:rPr>
      </w:pPr>
      <w:bookmarkStart w:id="139" w:name="_Toc1798"/>
      <w:r>
        <w:rPr>
          <w:rFonts w:hint="eastAsia" w:ascii="宋体" w:hAnsi="宋体" w:eastAsia="宋体" w:cs="宋体"/>
          <w:b/>
          <w:bCs/>
          <w:color w:val="auto"/>
          <w:w w:val="95"/>
          <w:sz w:val="24"/>
          <w:szCs w:val="24"/>
          <w:highlight w:val="none"/>
        </w:rPr>
        <w:t>1、内墙面板</w:t>
      </w:r>
      <w:bookmarkEnd w:id="139"/>
    </w:p>
    <w:p w14:paraId="1CD22DF1">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1.1、50mm 厚抗腐蚀手工石膏岩棉彩钢板</w:t>
      </w:r>
    </w:p>
    <w:p w14:paraId="7007EEB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1）板材结构：钢板≥0.476mm厚钢板（钢板面层含防腐蚀的氟碳涂层，涂层厚度≥23um），石膏板的厚度：≥9.5mm，内填充物：岩棉容重≥100kg/m3，四周采用镀锌板内雌雄口框手工制作而成边框（厚度≥0.6mm）。</w:t>
      </w:r>
    </w:p>
    <w:p w14:paraId="0660B1C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2）彩钢板采用可调升降铝合金地轨固定及中字铝</w:t>
      </w:r>
      <w:r>
        <w:rPr>
          <w:rFonts w:hint="eastAsia" w:ascii="宋体" w:hAnsi="宋体" w:eastAsia="宋体" w:cs="宋体"/>
          <w:color w:val="auto"/>
          <w:spacing w:val="-103"/>
          <w:sz w:val="24"/>
          <w:szCs w:val="24"/>
          <w:highlight w:val="none"/>
        </w:rPr>
        <w:t xml:space="preserve"> </w:t>
      </w:r>
      <w:r>
        <w:rPr>
          <w:rFonts w:hint="eastAsia" w:ascii="宋体" w:hAnsi="宋体" w:eastAsia="宋体" w:cs="宋体"/>
          <w:color w:val="auto"/>
          <w:spacing w:val="-4"/>
          <w:sz w:val="24"/>
          <w:szCs w:val="24"/>
          <w:highlight w:val="none"/>
        </w:rPr>
        <w:t>型材连接件，增加墙体强度，保障实验室墙体不变形，不泄漏。内圆角为</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z w:val="24"/>
          <w:szCs w:val="24"/>
          <w:highlight w:val="none"/>
        </w:rPr>
        <w:t>R=50</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4"/>
          <w:sz w:val="24"/>
          <w:szCs w:val="24"/>
          <w:highlight w:val="none"/>
        </w:rPr>
        <w:t>圆弧阴角，外直角</w:t>
      </w:r>
      <w:r>
        <w:rPr>
          <w:rFonts w:hint="eastAsia" w:ascii="宋体" w:hAnsi="宋体" w:eastAsia="宋体" w:cs="宋体"/>
          <w:color w:val="auto"/>
          <w:spacing w:val="-94"/>
          <w:sz w:val="24"/>
          <w:szCs w:val="24"/>
          <w:highlight w:val="none"/>
        </w:rPr>
        <w:t xml:space="preserve"> </w:t>
      </w:r>
      <w:r>
        <w:rPr>
          <w:rFonts w:hint="eastAsia" w:ascii="宋体" w:hAnsi="宋体" w:eastAsia="宋体" w:cs="宋体"/>
          <w:color w:val="auto"/>
          <w:spacing w:val="5"/>
          <w:sz w:val="24"/>
          <w:szCs w:val="24"/>
          <w:highlight w:val="none"/>
        </w:rPr>
        <w:t>平滑无棱圆弧阳角R=50，彩钢板表面喷涂层具有耐酸碱、耐过氧化氢腐蚀性能。钢板厚度≥</w:t>
      </w:r>
      <w:r>
        <w:rPr>
          <w:rFonts w:hint="eastAsia" w:ascii="宋体" w:hAnsi="宋体" w:eastAsia="宋体" w:cs="宋体"/>
          <w:color w:val="auto"/>
          <w:spacing w:val="-83"/>
          <w:sz w:val="24"/>
          <w:szCs w:val="24"/>
          <w:highlight w:val="none"/>
        </w:rPr>
        <w:t xml:space="preserve"> </w:t>
      </w:r>
      <w:r>
        <w:rPr>
          <w:rFonts w:hint="eastAsia" w:ascii="宋体" w:hAnsi="宋体" w:eastAsia="宋体" w:cs="宋体"/>
          <w:color w:val="auto"/>
          <w:sz w:val="24"/>
          <w:szCs w:val="24"/>
          <w:highlight w:val="none"/>
        </w:rPr>
        <w:t>0.476mm，板材耐火性能≥1小时。对角线误差不得大于</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z w:val="24"/>
          <w:szCs w:val="24"/>
          <w:highlight w:val="none"/>
        </w:rPr>
        <w:t>1mm；四周采用</w:t>
      </w:r>
      <w:r>
        <w:rPr>
          <w:rFonts w:hint="eastAsia" w:ascii="宋体" w:hAnsi="宋体" w:eastAsia="宋体" w:cs="宋体"/>
          <w:color w:val="auto"/>
          <w:spacing w:val="-31"/>
          <w:sz w:val="24"/>
          <w:szCs w:val="24"/>
          <w:highlight w:val="none"/>
        </w:rPr>
        <w:t xml:space="preserve">≥ </w:t>
      </w:r>
      <w:r>
        <w:rPr>
          <w:rFonts w:hint="eastAsia" w:ascii="宋体" w:hAnsi="宋体" w:eastAsia="宋体" w:cs="宋体"/>
          <w:color w:val="auto"/>
          <w:sz w:val="24"/>
          <w:szCs w:val="24"/>
          <w:highlight w:val="none"/>
        </w:rPr>
        <w:t>0.6mm</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z w:val="24"/>
          <w:szCs w:val="24"/>
          <w:highlight w:val="none"/>
        </w:rPr>
        <w:t>镀锌钢带，角件为 ABS</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z w:val="24"/>
          <w:szCs w:val="24"/>
          <w:highlight w:val="none"/>
        </w:rPr>
        <w:t>角件，芯材为岩棉切条，密度≥100kg/m3。钢板折边有三角边与边框龙骨相扣嵌入，具有钢</w:t>
      </w:r>
      <w:r>
        <w:rPr>
          <w:rFonts w:hint="eastAsia" w:ascii="宋体" w:hAnsi="宋体" w:eastAsia="宋体" w:cs="宋体"/>
          <w:color w:val="auto"/>
          <w:spacing w:val="-103"/>
          <w:sz w:val="24"/>
          <w:szCs w:val="24"/>
          <w:highlight w:val="none"/>
        </w:rPr>
        <w:t xml:space="preserve"> </w:t>
      </w:r>
      <w:r>
        <w:rPr>
          <w:rFonts w:hint="eastAsia" w:ascii="宋体" w:hAnsi="宋体" w:eastAsia="宋体" w:cs="宋体"/>
          <w:color w:val="auto"/>
          <w:sz w:val="24"/>
          <w:szCs w:val="24"/>
          <w:highlight w:val="none"/>
        </w:rPr>
        <w:t xml:space="preserve">板与边框防脱脱落功能。 </w:t>
      </w:r>
    </w:p>
    <w:p w14:paraId="4C168787">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1.2、50mm装配式生物洁净板</w:t>
      </w:r>
    </w:p>
    <w:p w14:paraId="1E4DD900">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1）生物洁净板墙板采用双面≥5mm生物洁净板（自带抗菌、耐过氧化氢腐蚀功能）与高强度铝合金龙骨复合，内填容重≥100kg/m³的防火岩棉，严禁采用铝框翻边工艺。</w:t>
      </w:r>
    </w:p>
    <w:p w14:paraId="49FD4099">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2）墙板须在工厂一体化预制，现场干法拼装，无湿作业，接口标准化并具有通用性和互换性。</w:t>
      </w:r>
    </w:p>
    <w:p w14:paraId="1A5754BC">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3）防火性能要求耐火极限≥1h，符合GB 50016和GB 50222的规定。</w:t>
      </w:r>
    </w:p>
    <w:p w14:paraId="15F575C7">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4）外观表面应均匀光洁，无擦毛、划痕、气泡、皱褶、脱胶及胶水溢出等缺陷。</w:t>
      </w:r>
    </w:p>
    <w:p w14:paraId="4471C478">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5）物理力学性能应满足面密度＜55kg/m²、含水率＜10%、抗弯破坏载荷＞2倍板自重、抗压强度＞4倍板自重，经5次冲击试验后表面无裂纹，干燥收缩值＜0.6mm/m，吊挂力1000N静置24h后板面无宽度＞0.5mm的裂纹，空气声隔声量＞35dB。</w:t>
      </w:r>
    </w:p>
    <w:p w14:paraId="2DAD58D8">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6）板间缝隙控制在2.5～3.5mm，采用壁厚≥1.2mm的中字铝连接件并预留缝宽≥2.8mm以填充硅酮密封胶，阳角采用3～4mm同色型材且与板面纯平，外圆柱等部位饰面须与相邻墙板平齐；板边框铝合金型材壁厚≥1.2mm，地槽型材壁厚≥1.5mm且高度可调，须承重不变形，所有外露铝合金件均采用磨砂氧化、电泳（砂电白）或喷塑处理以满足防腐要求。</w:t>
      </w:r>
    </w:p>
    <w:p w14:paraId="0B5BD6DA">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1.3、5mm石晶板</w:t>
      </w:r>
    </w:p>
    <w:p w14:paraId="3ADE8F0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1）材质组成：由天燃石粉和高分子晶体材料组成</w:t>
      </w:r>
    </w:p>
    <w:p w14:paraId="77F80AB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2）防水性能：具有长期浸泡不变型</w:t>
      </w:r>
    </w:p>
    <w:p w14:paraId="1CC6E84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3）甲醛释放量：零甲醛符合国标《GB/18580-2017》</w:t>
      </w:r>
    </w:p>
    <w:p w14:paraId="749E729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4）防霉性能：JCT2039-2010标准中最高级：0级</w:t>
      </w:r>
    </w:p>
    <w:p w14:paraId="33DBF13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5）抗菌性能：金黄色葡萄球菌≥99.89%，大肠埃希菌≥95.67%</w:t>
      </w:r>
    </w:p>
    <w:p w14:paraId="584B822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6）防火功能：A2级</w:t>
      </w:r>
    </w:p>
    <w:p w14:paraId="4B78339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7）冷热翘曲：0.02</w:t>
      </w:r>
    </w:p>
    <w:p w14:paraId="593E161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8）密度2200g/cm3</w:t>
      </w:r>
    </w:p>
    <w:p w14:paraId="229327D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9）抗紫外线</w:t>
      </w:r>
    </w:p>
    <w:p w14:paraId="630EACD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10）抗过氧化氢</w:t>
      </w:r>
    </w:p>
    <w:p w14:paraId="2C8CD29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11）阴阳角一体化折弯工艺</w:t>
      </w:r>
    </w:p>
    <w:p w14:paraId="3E7EFE18">
      <w:pPr>
        <w:tabs>
          <w:tab w:val="left" w:pos="2160"/>
        </w:tabs>
        <w:autoSpaceDE w:val="0"/>
        <w:autoSpaceDN w:val="0"/>
        <w:adjustRightInd w:val="0"/>
        <w:spacing w:line="360" w:lineRule="auto"/>
        <w:ind w:firstLine="114" w:firstLineChars="50"/>
        <w:outlineLvl w:val="1"/>
        <w:rPr>
          <w:rFonts w:hint="eastAsia" w:ascii="宋体" w:hAnsi="宋体" w:eastAsia="宋体" w:cs="宋体"/>
          <w:b/>
          <w:bCs/>
          <w:color w:val="auto"/>
          <w:w w:val="95"/>
          <w:sz w:val="24"/>
          <w:szCs w:val="24"/>
          <w:highlight w:val="none"/>
        </w:rPr>
      </w:pPr>
      <w:bookmarkStart w:id="140" w:name="_Toc14998"/>
      <w:r>
        <w:rPr>
          <w:rFonts w:hint="eastAsia" w:ascii="宋体" w:hAnsi="宋体" w:eastAsia="宋体" w:cs="宋体"/>
          <w:b/>
          <w:bCs/>
          <w:color w:val="auto"/>
          <w:w w:val="95"/>
          <w:sz w:val="24"/>
          <w:szCs w:val="24"/>
          <w:highlight w:val="none"/>
        </w:rPr>
        <w:t>2、顶面板</w:t>
      </w:r>
      <w:bookmarkEnd w:id="140"/>
    </w:p>
    <w:p w14:paraId="44EAEDC1">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2.1、50mm 厚抗腐蚀手工石膏岩棉彩钢板</w:t>
      </w:r>
    </w:p>
    <w:p w14:paraId="73DAFCED">
      <w:pPr>
        <w:spacing w:line="360" w:lineRule="auto"/>
        <w:ind w:firstLine="120" w:firstLineChars="50"/>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50mm厚，双面彩钢钢板厚度≥0.476mm，灰白色。彩钢板采用中字铝吊梁固定，增加吊顶强</w:t>
      </w:r>
      <w:r>
        <w:rPr>
          <w:rFonts w:hint="eastAsia" w:ascii="宋体" w:hAnsi="宋体" w:eastAsia="宋体" w:cs="宋体"/>
          <w:color w:val="auto"/>
          <w:spacing w:val="-1"/>
          <w:sz w:val="24"/>
          <w:szCs w:val="24"/>
          <w:highlight w:val="none"/>
        </w:rPr>
        <w:t>度，保障实验室吊顶上人维修不变形，不泄露。采用中字铝型材连接件，方形吊环吊件固定。彩</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3"/>
          <w:sz w:val="24"/>
          <w:szCs w:val="24"/>
          <w:highlight w:val="none"/>
        </w:rPr>
        <w:t>钢板表面喷涂层具有耐酸碱、耐过氧化氢腐蚀性能。板材耐火性能≥1小时。对角线误差不得大于</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3"/>
          <w:sz w:val="24"/>
          <w:szCs w:val="24"/>
          <w:highlight w:val="none"/>
        </w:rPr>
        <w:t>1mm；四周采用</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z w:val="24"/>
          <w:szCs w:val="24"/>
          <w:highlight w:val="none"/>
        </w:rPr>
        <w:t>0.8mm</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4"/>
          <w:sz w:val="24"/>
          <w:szCs w:val="24"/>
          <w:highlight w:val="none"/>
        </w:rPr>
        <w:t>镀锌钢带，角件为</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z w:val="24"/>
          <w:szCs w:val="24"/>
          <w:highlight w:val="none"/>
        </w:rPr>
        <w:t>ABS</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pacing w:val="-3"/>
          <w:sz w:val="24"/>
          <w:szCs w:val="24"/>
          <w:highlight w:val="none"/>
        </w:rPr>
        <w:t>角件，芯材为岩棉切条，密度≥100kg/m3。配备可调</w:t>
      </w:r>
      <w:r>
        <w:rPr>
          <w:rFonts w:hint="eastAsia" w:ascii="宋体" w:hAnsi="宋体" w:eastAsia="宋体" w:cs="宋体"/>
          <w:color w:val="auto"/>
          <w:spacing w:val="-101"/>
          <w:sz w:val="24"/>
          <w:szCs w:val="24"/>
          <w:highlight w:val="none"/>
        </w:rPr>
        <w:t xml:space="preserve"> </w:t>
      </w:r>
      <w:r>
        <w:rPr>
          <w:rFonts w:hint="eastAsia" w:ascii="宋体" w:hAnsi="宋体" w:eastAsia="宋体" w:cs="宋体"/>
          <w:color w:val="auto"/>
          <w:spacing w:val="-3"/>
          <w:sz w:val="24"/>
          <w:szCs w:val="24"/>
          <w:highlight w:val="none"/>
        </w:rPr>
        <w:t>水平吊挂件，吊顶活荷载≥1.2KN/m2。钢板折边有三角边与边框龙骨相扣嵌入，具有钢板与边框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z w:val="24"/>
          <w:szCs w:val="24"/>
          <w:highlight w:val="none"/>
        </w:rPr>
        <w:t xml:space="preserve">防脱脱落功能。 </w:t>
      </w:r>
    </w:p>
    <w:p w14:paraId="1C8F4F82">
      <w:pPr>
        <w:tabs>
          <w:tab w:val="left" w:pos="2160"/>
        </w:tabs>
        <w:autoSpaceDE w:val="0"/>
        <w:autoSpaceDN w:val="0"/>
        <w:adjustRightInd w:val="0"/>
        <w:spacing w:line="360" w:lineRule="auto"/>
        <w:ind w:firstLine="114" w:firstLineChars="50"/>
        <w:outlineLvl w:val="1"/>
        <w:rPr>
          <w:rFonts w:hint="eastAsia" w:ascii="宋体" w:hAnsi="宋体" w:eastAsia="宋体" w:cs="宋体"/>
          <w:b/>
          <w:bCs/>
          <w:color w:val="auto"/>
          <w:w w:val="95"/>
          <w:sz w:val="24"/>
          <w:szCs w:val="24"/>
          <w:highlight w:val="none"/>
        </w:rPr>
      </w:pPr>
      <w:bookmarkStart w:id="141" w:name="_Toc22233"/>
      <w:r>
        <w:rPr>
          <w:rFonts w:hint="eastAsia" w:ascii="宋体" w:hAnsi="宋体" w:eastAsia="宋体" w:cs="宋体"/>
          <w:b/>
          <w:bCs/>
          <w:color w:val="auto"/>
          <w:w w:val="95"/>
          <w:sz w:val="24"/>
          <w:szCs w:val="24"/>
          <w:highlight w:val="none"/>
        </w:rPr>
        <w:t>3、地坪</w:t>
      </w:r>
      <w:bookmarkEnd w:id="141"/>
    </w:p>
    <w:p w14:paraId="24BB07C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3.1、3.2mm环氧钢玉地坪</w:t>
      </w:r>
    </w:p>
    <w:p w14:paraId="5CB0D478">
      <w:pPr>
        <w:widowControl/>
        <w:adjustRightInd w:val="0"/>
        <w:snapToGrid w:val="0"/>
        <w:spacing w:line="360" w:lineRule="auto"/>
        <w:ind w:firstLine="120" w:firstLineChars="5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（1）材料说明 </w:t>
      </w:r>
    </w:p>
    <w:p w14:paraId="6369BD4D">
      <w:pPr>
        <w:widowControl/>
        <w:spacing w:line="360" w:lineRule="auto"/>
        <w:ind w:firstLine="117" w:firstLineChars="50"/>
        <w:jc w:val="left"/>
        <w:rPr>
          <w:rFonts w:hint="eastAsia" w:ascii="宋体" w:hAnsi="宋体" w:eastAsia="宋体" w:cs="宋体"/>
          <w:bCs/>
          <w:color w:val="auto"/>
          <w:sz w:val="24"/>
          <w:szCs w:val="24"/>
          <w:highlight w:val="none"/>
        </w:rPr>
      </w:pPr>
      <w:r>
        <w:rPr>
          <w:rFonts w:hint="eastAsia" w:ascii="宋体" w:hAnsi="宋体" w:eastAsia="宋体" w:cs="宋体"/>
          <w:color w:val="auto"/>
          <w:spacing w:val="-3"/>
          <w:sz w:val="24"/>
          <w:szCs w:val="24"/>
          <w:highlight w:val="none"/>
        </w:rPr>
        <w:t>环氧钢玉地坪（厚度≧3.2 毫米）是由高强度无溶剂环氧和高固量聚氨酯钢玉涂料组成。以避免一般树脂地坪因潮气，和持久性冷/热水，热蒸汽冲洗而造成地坪起翘、空鼓、有气泡等现象。具有强度高、抗热冷冲击、耐刮擦、止滑、和耐冲洗的洁净卫生地面。整体无缝将细菌滋长，油污和化学渗透降低到最低。</w:t>
      </w:r>
      <w:r>
        <w:rPr>
          <w:rFonts w:hint="eastAsia" w:ascii="宋体" w:hAnsi="宋体" w:eastAsia="宋体" w:cs="宋体"/>
          <w:bCs/>
          <w:color w:val="auto"/>
          <w:kern w:val="0"/>
          <w:sz w:val="24"/>
          <w:szCs w:val="24"/>
          <w:highlight w:val="none"/>
          <w:lang w:bidi="ar"/>
        </w:rPr>
        <w:t xml:space="preserve"> </w:t>
      </w:r>
    </w:p>
    <w:p w14:paraId="40D97151">
      <w:pPr>
        <w:widowControl/>
        <w:adjustRightInd w:val="0"/>
        <w:snapToGrid w:val="0"/>
        <w:spacing w:line="360" w:lineRule="auto"/>
        <w:ind w:firstLine="120" w:firstLineChars="5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（2）材料涂层组成部分 </w:t>
      </w:r>
    </w:p>
    <w:p w14:paraId="256BE06D">
      <w:pPr>
        <w:widowControl/>
        <w:spacing w:line="360" w:lineRule="auto"/>
        <w:ind w:firstLine="117" w:firstLineChars="50"/>
        <w:jc w:val="left"/>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 xml:space="preserve">环氧钢玉地坪≥3.2mm </w:t>
      </w:r>
    </w:p>
    <w:p w14:paraId="2E8C4768">
      <w:pPr>
        <w:widowControl/>
        <w:spacing w:line="360" w:lineRule="auto"/>
        <w:jc w:val="left"/>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1）0.09mm聚氨酯刚玉面涂</w:t>
      </w:r>
      <w:r>
        <w:rPr>
          <w:rFonts w:hint="eastAsia" w:ascii="宋体" w:hAnsi="宋体" w:eastAsia="宋体" w:cs="宋体"/>
          <w:color w:val="auto"/>
          <w:spacing w:val="-3"/>
          <w:sz w:val="24"/>
          <w:szCs w:val="24"/>
          <w:highlight w:val="none"/>
        </w:rPr>
        <w:br w:type="textWrapping"/>
      </w:r>
      <w:r>
        <w:rPr>
          <w:rFonts w:hint="eastAsia" w:ascii="宋体" w:hAnsi="宋体" w:eastAsia="宋体" w:cs="宋体"/>
          <w:color w:val="auto"/>
          <w:spacing w:val="-3"/>
          <w:sz w:val="24"/>
          <w:szCs w:val="24"/>
          <w:highlight w:val="none"/>
        </w:rPr>
        <w:t>2）0.08高固体环氧涂料</w:t>
      </w:r>
      <w:r>
        <w:rPr>
          <w:rFonts w:hint="eastAsia" w:ascii="宋体" w:hAnsi="宋体" w:eastAsia="宋体" w:cs="宋体"/>
          <w:color w:val="auto"/>
          <w:spacing w:val="-3"/>
          <w:sz w:val="24"/>
          <w:szCs w:val="24"/>
          <w:highlight w:val="none"/>
        </w:rPr>
        <w:br w:type="textWrapping"/>
      </w:r>
      <w:r>
        <w:rPr>
          <w:rFonts w:hint="eastAsia" w:ascii="宋体" w:hAnsi="宋体" w:eastAsia="宋体" w:cs="宋体"/>
          <w:color w:val="auto"/>
          <w:spacing w:val="-3"/>
          <w:sz w:val="24"/>
          <w:szCs w:val="24"/>
          <w:highlight w:val="none"/>
        </w:rPr>
        <w:t>3）1.0mm无溶剂环氧自流平+细石英砂浆层</w:t>
      </w:r>
      <w:r>
        <w:rPr>
          <w:rFonts w:hint="eastAsia" w:ascii="宋体" w:hAnsi="宋体" w:eastAsia="宋体" w:cs="宋体"/>
          <w:color w:val="auto"/>
          <w:spacing w:val="-3"/>
          <w:sz w:val="24"/>
          <w:szCs w:val="24"/>
          <w:highlight w:val="none"/>
        </w:rPr>
        <w:br w:type="textWrapping"/>
      </w:r>
      <w:r>
        <w:rPr>
          <w:rFonts w:hint="eastAsia" w:ascii="宋体" w:hAnsi="宋体" w:eastAsia="宋体" w:cs="宋体"/>
          <w:color w:val="auto"/>
          <w:spacing w:val="-3"/>
          <w:sz w:val="24"/>
          <w:szCs w:val="24"/>
          <w:highlight w:val="none"/>
        </w:rPr>
        <w:t>4）0.8m无溶剂环氧涂料+细石英砂浆层批刮第二道</w:t>
      </w:r>
      <w:r>
        <w:rPr>
          <w:rFonts w:hint="eastAsia" w:ascii="宋体" w:hAnsi="宋体" w:eastAsia="宋体" w:cs="宋体"/>
          <w:color w:val="auto"/>
          <w:spacing w:val="-3"/>
          <w:sz w:val="24"/>
          <w:szCs w:val="24"/>
          <w:highlight w:val="none"/>
        </w:rPr>
        <w:br w:type="textWrapping"/>
      </w:r>
      <w:r>
        <w:rPr>
          <w:rFonts w:hint="eastAsia" w:ascii="宋体" w:hAnsi="宋体" w:eastAsia="宋体" w:cs="宋体"/>
          <w:color w:val="auto"/>
          <w:spacing w:val="-3"/>
          <w:sz w:val="24"/>
          <w:szCs w:val="24"/>
          <w:highlight w:val="none"/>
        </w:rPr>
        <w:t>5）0.8mm无溶剂环氧涂料+粗石英砂浆层批刮第一道</w:t>
      </w:r>
      <w:r>
        <w:rPr>
          <w:rFonts w:hint="eastAsia" w:ascii="宋体" w:hAnsi="宋体" w:eastAsia="宋体" w:cs="宋体"/>
          <w:color w:val="auto"/>
          <w:spacing w:val="-3"/>
          <w:sz w:val="24"/>
          <w:szCs w:val="24"/>
          <w:highlight w:val="none"/>
        </w:rPr>
        <w:br w:type="textWrapping"/>
      </w:r>
      <w:r>
        <w:rPr>
          <w:rFonts w:hint="eastAsia" w:ascii="宋体" w:hAnsi="宋体" w:eastAsia="宋体" w:cs="宋体"/>
          <w:color w:val="auto"/>
          <w:spacing w:val="-3"/>
          <w:sz w:val="24"/>
          <w:szCs w:val="24"/>
          <w:highlight w:val="none"/>
        </w:rPr>
        <w:t>6）0.2m100%固含量环氧渗透封闭底涂</w:t>
      </w:r>
      <w:r>
        <w:rPr>
          <w:rFonts w:hint="eastAsia" w:ascii="宋体" w:hAnsi="宋体" w:eastAsia="宋体" w:cs="宋体"/>
          <w:color w:val="auto"/>
          <w:spacing w:val="-3"/>
          <w:sz w:val="24"/>
          <w:szCs w:val="24"/>
          <w:highlight w:val="none"/>
        </w:rPr>
        <w:br w:type="textWrapping"/>
      </w:r>
      <w:r>
        <w:rPr>
          <w:rFonts w:hint="eastAsia" w:ascii="宋体" w:hAnsi="宋体" w:eastAsia="宋体" w:cs="宋体"/>
          <w:color w:val="auto"/>
          <w:spacing w:val="-3"/>
          <w:sz w:val="24"/>
          <w:szCs w:val="24"/>
          <w:highlight w:val="none"/>
        </w:rPr>
        <w:t>7）50/100 厚c25细石混凝土找平层内配φ4@160成品钢筋网（随捣随抹平）</w:t>
      </w:r>
      <w:r>
        <w:rPr>
          <w:rFonts w:hint="eastAsia" w:ascii="宋体" w:hAnsi="宋体" w:eastAsia="宋体" w:cs="宋体"/>
          <w:color w:val="auto"/>
          <w:spacing w:val="-3"/>
          <w:sz w:val="24"/>
          <w:szCs w:val="24"/>
          <w:highlight w:val="none"/>
        </w:rPr>
        <w:br w:type="textWrapping"/>
      </w:r>
      <w:r>
        <w:rPr>
          <w:rFonts w:hint="eastAsia" w:ascii="宋体" w:hAnsi="宋体" w:eastAsia="宋体" w:cs="宋体"/>
          <w:color w:val="auto"/>
          <w:spacing w:val="-3"/>
          <w:sz w:val="24"/>
          <w:szCs w:val="24"/>
          <w:highlight w:val="none"/>
        </w:rPr>
        <w:t>8）1.5厚聚合物水泥防水涂料2道（用于楼面）</w:t>
      </w:r>
    </w:p>
    <w:p w14:paraId="6962060E">
      <w:pPr>
        <w:widowControl/>
        <w:spacing w:line="360" w:lineRule="auto"/>
        <w:jc w:val="left"/>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9）水泥浆一道（同掺建筑胶）</w:t>
      </w:r>
    </w:p>
    <w:p w14:paraId="7BD3D5E8">
      <w:pPr>
        <w:widowControl/>
        <w:spacing w:line="360" w:lineRule="auto"/>
        <w:ind w:firstLine="120" w:firstLineChars="50"/>
        <w:jc w:val="left"/>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lang w:bidi="ar"/>
        </w:rPr>
        <w:t xml:space="preserve">（3）材料性能特点 </w:t>
      </w:r>
    </w:p>
    <w:p w14:paraId="00EB689A">
      <w:pPr>
        <w:widowControl/>
        <w:spacing w:line="360" w:lineRule="auto"/>
        <w:ind w:firstLine="117" w:firstLineChars="50"/>
        <w:jc w:val="left"/>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施工前必须进行对阻燃钢玉地坪进行测试。</w:t>
      </w:r>
    </w:p>
    <w:p w14:paraId="0CEE0EA3">
      <w:pPr>
        <w:widowControl/>
        <w:spacing w:line="360" w:lineRule="auto"/>
        <w:ind w:firstLine="117" w:firstLineChars="50"/>
        <w:jc w:val="left"/>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所有样品在 23–25 摄氏度和50％正负 2％相对湿度下固化7天。</w:t>
      </w:r>
    </w:p>
    <w:p w14:paraId="26A5AFE1">
      <w:pPr>
        <w:widowControl/>
        <w:spacing w:line="360" w:lineRule="auto"/>
        <w:ind w:firstLine="117" w:firstLineChars="50"/>
        <w:jc w:val="left"/>
        <w:rPr>
          <w:rFonts w:hint="eastAsia" w:ascii="宋体" w:hAnsi="宋体" w:eastAsia="宋体" w:cs="宋体"/>
          <w:bCs/>
          <w:color w:val="auto"/>
          <w:kern w:val="0"/>
          <w:sz w:val="24"/>
          <w:szCs w:val="24"/>
          <w:highlight w:val="none"/>
          <w:lang w:bidi="ar"/>
        </w:rPr>
      </w:pPr>
      <w:r>
        <w:rPr>
          <w:rFonts w:hint="eastAsia" w:ascii="宋体" w:hAnsi="宋体" w:eastAsia="宋体" w:cs="宋体"/>
          <w:color w:val="auto"/>
          <w:spacing w:val="-3"/>
          <w:sz w:val="24"/>
          <w:szCs w:val="24"/>
          <w:highlight w:val="none"/>
        </w:rPr>
        <w:t xml:space="preserve">产品应符合以下要求： </w:t>
      </w:r>
    </w:p>
    <w:tbl>
      <w:tblPr>
        <w:tblStyle w:val="19"/>
        <w:tblW w:w="4999" w:type="pct"/>
        <w:tblInd w:w="0" w:type="dxa"/>
        <w:tblLayout w:type="autofit"/>
        <w:tblCellMar>
          <w:top w:w="0" w:type="dxa"/>
          <w:left w:w="108" w:type="dxa"/>
          <w:bottom w:w="0" w:type="dxa"/>
          <w:right w:w="108" w:type="dxa"/>
        </w:tblCellMar>
      </w:tblPr>
      <w:tblGrid>
        <w:gridCol w:w="846"/>
        <w:gridCol w:w="991"/>
        <w:gridCol w:w="1530"/>
        <w:gridCol w:w="1885"/>
        <w:gridCol w:w="2498"/>
        <w:gridCol w:w="2930"/>
      </w:tblGrid>
      <w:tr w14:paraId="66DFF538">
        <w:tblPrEx>
          <w:tblCellMar>
            <w:top w:w="0" w:type="dxa"/>
            <w:left w:w="108" w:type="dxa"/>
            <w:bottom w:w="0" w:type="dxa"/>
            <w:right w:w="108" w:type="dxa"/>
          </w:tblCellMar>
        </w:tblPrEx>
        <w:trPr>
          <w:trHeight w:val="627"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14C722A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序号</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72611B9C">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测试项目</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0DE58EBB">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测试方法</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177D53A2">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技术要求</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4235D8C0">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测试结果</w:t>
            </w:r>
          </w:p>
        </w:tc>
      </w:tr>
      <w:tr w14:paraId="2EA1745F">
        <w:tblPrEx>
          <w:tblCellMar>
            <w:top w:w="0" w:type="dxa"/>
            <w:left w:w="108" w:type="dxa"/>
            <w:bottom w:w="0" w:type="dxa"/>
            <w:right w:w="108" w:type="dxa"/>
          </w:tblCellMar>
        </w:tblPrEx>
        <w:trPr>
          <w:trHeight w:val="940"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19F33E5D">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1</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27D1322E">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容器中状态</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475E460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20E6A0D9">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搅拌混合后呈均匀状态，无硬块</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7E26A0ED">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搅拌混合后呈均匀状态，无硬块</w:t>
            </w:r>
          </w:p>
        </w:tc>
      </w:tr>
      <w:tr w14:paraId="6BC352FF">
        <w:tblPrEx>
          <w:tblCellMar>
            <w:top w:w="0" w:type="dxa"/>
            <w:left w:w="108" w:type="dxa"/>
            <w:bottom w:w="0" w:type="dxa"/>
            <w:right w:w="108" w:type="dxa"/>
          </w:tblCellMar>
        </w:tblPrEx>
        <w:trPr>
          <w:trHeight w:val="366"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37B83097">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2</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0EFB7FDD">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涂膜外观</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5E0A24F3">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06CAE8D7">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表面平整、无明显可见的缩孔、浮色、发花起皱、针孔、开裂等现象</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42656119">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表面平整、无明显可见的缩孔、浮色、发花起皱、针孔、开裂等现象</w:t>
            </w:r>
          </w:p>
        </w:tc>
      </w:tr>
      <w:tr w14:paraId="33E9F043">
        <w:tblPrEx>
          <w:tblCellMar>
            <w:top w:w="0" w:type="dxa"/>
            <w:left w:w="108" w:type="dxa"/>
            <w:bottom w:w="0" w:type="dxa"/>
            <w:right w:w="108" w:type="dxa"/>
          </w:tblCellMar>
        </w:tblPrEx>
        <w:trPr>
          <w:trHeight w:val="940" w:hRule="atLeast"/>
        </w:trPr>
        <w:tc>
          <w:tcPr>
            <w:tcW w:w="396" w:type="pct"/>
            <w:vMerge w:val="restart"/>
            <w:tcBorders>
              <w:top w:val="single" w:color="auto" w:sz="4" w:space="0"/>
              <w:left w:val="single" w:color="auto" w:sz="4" w:space="0"/>
              <w:bottom w:val="single" w:color="auto" w:sz="4" w:space="0"/>
              <w:right w:val="single" w:color="auto" w:sz="4" w:space="0"/>
            </w:tcBorders>
            <w:noWrap w:val="0"/>
            <w:vAlign w:val="center"/>
          </w:tcPr>
          <w:p w14:paraId="307D5C76">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3</w:t>
            </w:r>
          </w:p>
        </w:tc>
        <w:tc>
          <w:tcPr>
            <w:tcW w:w="464" w:type="pct"/>
            <w:vMerge w:val="restart"/>
            <w:tcBorders>
              <w:top w:val="single" w:color="auto" w:sz="4" w:space="0"/>
              <w:left w:val="single" w:color="auto" w:sz="4" w:space="0"/>
              <w:bottom w:val="single" w:color="auto" w:sz="4" w:space="0"/>
              <w:right w:val="single" w:color="auto" w:sz="4" w:space="0"/>
            </w:tcBorders>
            <w:noWrap w:val="0"/>
            <w:vAlign w:val="center"/>
          </w:tcPr>
          <w:p w14:paraId="6B530EAF">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干燥时间</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4D2DCD1F">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表干，h</w:t>
            </w:r>
          </w:p>
        </w:tc>
        <w:tc>
          <w:tcPr>
            <w:tcW w:w="882" w:type="pct"/>
            <w:vMerge w:val="restart"/>
            <w:tcBorders>
              <w:top w:val="single" w:color="auto" w:sz="4" w:space="0"/>
              <w:left w:val="single" w:color="auto" w:sz="4" w:space="0"/>
              <w:bottom w:val="single" w:color="auto" w:sz="4" w:space="0"/>
              <w:right w:val="single" w:color="auto" w:sz="4" w:space="0"/>
            </w:tcBorders>
            <w:noWrap w:val="0"/>
            <w:vAlign w:val="center"/>
          </w:tcPr>
          <w:p w14:paraId="505854DC">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1728-1979（1989）</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002B2FA6">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≤8</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12297B5E">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＜8</w:t>
            </w:r>
          </w:p>
        </w:tc>
      </w:tr>
      <w:tr w14:paraId="0B63D513">
        <w:tblPrEx>
          <w:tblCellMar>
            <w:top w:w="0" w:type="dxa"/>
            <w:left w:w="108" w:type="dxa"/>
            <w:bottom w:w="0" w:type="dxa"/>
            <w:right w:w="108" w:type="dxa"/>
          </w:tblCellMar>
        </w:tblPrEx>
        <w:trPr>
          <w:trHeight w:val="940" w:hRule="atLeast"/>
        </w:trPr>
        <w:tc>
          <w:tcPr>
            <w:tcW w:w="396" w:type="pct"/>
            <w:vMerge w:val="continue"/>
            <w:tcBorders>
              <w:top w:val="single" w:color="auto" w:sz="4" w:space="0"/>
              <w:left w:val="single" w:color="auto" w:sz="4" w:space="0"/>
              <w:bottom w:val="single" w:color="auto" w:sz="4" w:space="0"/>
              <w:right w:val="single" w:color="auto" w:sz="4" w:space="0"/>
            </w:tcBorders>
            <w:noWrap w:val="0"/>
            <w:vAlign w:val="center"/>
          </w:tcPr>
          <w:p w14:paraId="0F51C89F">
            <w:pPr>
              <w:spacing w:line="360" w:lineRule="auto"/>
              <w:ind w:firstLine="118" w:firstLineChars="50"/>
              <w:rPr>
                <w:rFonts w:hint="eastAsia" w:ascii="宋体" w:hAnsi="宋体" w:eastAsia="宋体" w:cs="宋体"/>
                <w:color w:val="auto"/>
                <w:spacing w:val="-2"/>
                <w:sz w:val="24"/>
                <w:szCs w:val="24"/>
                <w:highlight w:val="none"/>
                <w:lang w:eastAsia="en-US"/>
              </w:rPr>
            </w:pPr>
          </w:p>
        </w:tc>
        <w:tc>
          <w:tcPr>
            <w:tcW w:w="464" w:type="pct"/>
            <w:vMerge w:val="continue"/>
            <w:tcBorders>
              <w:top w:val="single" w:color="auto" w:sz="4" w:space="0"/>
              <w:left w:val="single" w:color="auto" w:sz="4" w:space="0"/>
              <w:bottom w:val="single" w:color="auto" w:sz="4" w:space="0"/>
              <w:right w:val="single" w:color="auto" w:sz="4" w:space="0"/>
            </w:tcBorders>
            <w:noWrap w:val="0"/>
            <w:vAlign w:val="center"/>
          </w:tcPr>
          <w:p w14:paraId="548109A3">
            <w:pPr>
              <w:spacing w:line="360" w:lineRule="auto"/>
              <w:ind w:firstLine="118" w:firstLineChars="50"/>
              <w:rPr>
                <w:rFonts w:hint="eastAsia" w:ascii="宋体" w:hAnsi="宋体" w:eastAsia="宋体" w:cs="宋体"/>
                <w:color w:val="auto"/>
                <w:spacing w:val="-2"/>
                <w:sz w:val="24"/>
                <w:szCs w:val="24"/>
                <w:highlight w:val="none"/>
                <w:lang w:eastAsia="en-US"/>
              </w:rPr>
            </w:pPr>
          </w:p>
        </w:tc>
        <w:tc>
          <w:tcPr>
            <w:tcW w:w="715" w:type="pct"/>
            <w:tcBorders>
              <w:top w:val="single" w:color="auto" w:sz="4" w:space="0"/>
              <w:left w:val="single" w:color="auto" w:sz="4" w:space="0"/>
              <w:bottom w:val="single" w:color="auto" w:sz="4" w:space="0"/>
              <w:right w:val="single" w:color="auto" w:sz="4" w:space="0"/>
            </w:tcBorders>
            <w:noWrap w:val="0"/>
            <w:vAlign w:val="center"/>
          </w:tcPr>
          <w:p w14:paraId="75752784">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实干，h</w:t>
            </w:r>
          </w:p>
        </w:tc>
        <w:tc>
          <w:tcPr>
            <w:tcW w:w="882" w:type="pct"/>
            <w:vMerge w:val="continue"/>
            <w:tcBorders>
              <w:top w:val="single" w:color="auto" w:sz="4" w:space="0"/>
              <w:left w:val="single" w:color="auto" w:sz="4" w:space="0"/>
              <w:bottom w:val="single" w:color="auto" w:sz="4" w:space="0"/>
              <w:right w:val="single" w:color="auto" w:sz="4" w:space="0"/>
            </w:tcBorders>
            <w:noWrap w:val="0"/>
            <w:vAlign w:val="center"/>
          </w:tcPr>
          <w:p w14:paraId="4EBC389B">
            <w:pPr>
              <w:spacing w:line="360" w:lineRule="auto"/>
              <w:ind w:firstLine="118" w:firstLineChars="50"/>
              <w:rPr>
                <w:rFonts w:hint="eastAsia" w:ascii="宋体" w:hAnsi="宋体" w:eastAsia="宋体" w:cs="宋体"/>
                <w:color w:val="auto"/>
                <w:spacing w:val="-2"/>
                <w:sz w:val="24"/>
                <w:szCs w:val="24"/>
                <w:highlight w:val="none"/>
                <w:lang w:eastAsia="en-US"/>
              </w:rPr>
            </w:pPr>
          </w:p>
        </w:tc>
        <w:tc>
          <w:tcPr>
            <w:tcW w:w="1169" w:type="pct"/>
            <w:tcBorders>
              <w:top w:val="single" w:color="auto" w:sz="4" w:space="0"/>
              <w:left w:val="single" w:color="auto" w:sz="4" w:space="0"/>
              <w:bottom w:val="single" w:color="auto" w:sz="4" w:space="0"/>
              <w:right w:val="single" w:color="auto" w:sz="4" w:space="0"/>
            </w:tcBorders>
            <w:noWrap w:val="0"/>
            <w:vAlign w:val="center"/>
          </w:tcPr>
          <w:p w14:paraId="45F03D9C">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≤48</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2D4F79C3">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＜48</w:t>
            </w:r>
          </w:p>
        </w:tc>
      </w:tr>
      <w:tr w14:paraId="51025772">
        <w:tblPrEx>
          <w:tblCellMar>
            <w:top w:w="0" w:type="dxa"/>
            <w:left w:w="108" w:type="dxa"/>
            <w:bottom w:w="0" w:type="dxa"/>
            <w:right w:w="108" w:type="dxa"/>
          </w:tblCellMar>
        </w:tblPrEx>
        <w:trPr>
          <w:trHeight w:val="940"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34B78F1C">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4</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7052593B">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eastAsia="en-US"/>
              </w:rPr>
              <w:t>铅笔硬度</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en-US"/>
              </w:rPr>
              <w:t>擦伤</w:t>
            </w:r>
            <w:r>
              <w:rPr>
                <w:rFonts w:hint="eastAsia" w:ascii="宋体" w:hAnsi="宋体" w:eastAsia="宋体" w:cs="宋体"/>
                <w:color w:val="auto"/>
                <w:spacing w:val="-2"/>
                <w:sz w:val="24"/>
                <w:szCs w:val="24"/>
                <w:highlight w:val="none"/>
              </w:rPr>
              <w:t>）</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1D841B9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GB/T6739-2006</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0E9EAEC5">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商定</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54DD5CC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4H</w:t>
            </w:r>
          </w:p>
        </w:tc>
      </w:tr>
      <w:tr w14:paraId="2F8EFBFF">
        <w:tblPrEx>
          <w:tblCellMar>
            <w:top w:w="0" w:type="dxa"/>
            <w:left w:w="108" w:type="dxa"/>
            <w:bottom w:w="0" w:type="dxa"/>
            <w:right w:w="108" w:type="dxa"/>
          </w:tblCellMar>
        </w:tblPrEx>
        <w:trPr>
          <w:trHeight w:val="940"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3DB12A83">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5</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7A8A0066">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eastAsia="en-US"/>
              </w:rPr>
              <w:t>耐磨性</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en-US"/>
              </w:rPr>
              <w:t>CS17轮，1000g/1000r</w:t>
            </w:r>
            <w:r>
              <w:rPr>
                <w:rFonts w:hint="eastAsia" w:ascii="宋体" w:hAnsi="宋体" w:eastAsia="宋体" w:cs="宋体"/>
                <w:color w:val="auto"/>
                <w:spacing w:val="-2"/>
                <w:sz w:val="24"/>
                <w:szCs w:val="24"/>
                <w:highlight w:val="none"/>
              </w:rPr>
              <w:t>）</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5DAC515F">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ASTM D4060</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6CC04903">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≤0.030</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76EEE4A2">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0.02</w:t>
            </w:r>
          </w:p>
        </w:tc>
      </w:tr>
      <w:tr w14:paraId="750EBEB4">
        <w:tblPrEx>
          <w:tblCellMar>
            <w:top w:w="0" w:type="dxa"/>
            <w:left w:w="108" w:type="dxa"/>
            <w:bottom w:w="0" w:type="dxa"/>
            <w:right w:w="108" w:type="dxa"/>
          </w:tblCellMar>
        </w:tblPrEx>
        <w:trPr>
          <w:trHeight w:val="940"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454C6FA4">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3</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3C0AF8C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拉伸粘结强</w:t>
            </w:r>
            <w:r>
              <w:rPr>
                <w:rFonts w:hint="eastAsia" w:ascii="宋体" w:hAnsi="宋体" w:eastAsia="宋体" w:cs="宋体"/>
                <w:color w:val="auto"/>
                <w:spacing w:val="-2"/>
                <w:sz w:val="24"/>
                <w:szCs w:val="24"/>
                <w:highlight w:val="none"/>
                <w:lang w:eastAsia="zh-CN"/>
              </w:rPr>
              <w:t>度</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487666CF">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63855301">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≥2Mpa</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1E72A71B">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＞2Mpa</w:t>
            </w:r>
          </w:p>
        </w:tc>
      </w:tr>
      <w:tr w14:paraId="37F00610">
        <w:tblPrEx>
          <w:tblCellMar>
            <w:top w:w="0" w:type="dxa"/>
            <w:left w:w="108" w:type="dxa"/>
            <w:bottom w:w="0" w:type="dxa"/>
            <w:right w:w="108" w:type="dxa"/>
          </w:tblCellMar>
        </w:tblPrEx>
        <w:trPr>
          <w:trHeight w:val="940"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097B1877">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4</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2B6D2D6E">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耐冲击性重载（1000g钢球）</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1270B5BE">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20E09A4C">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涂膜无裂纹、无剥落</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4685DD0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涂膜无裂纹、无剥落</w:t>
            </w:r>
          </w:p>
        </w:tc>
      </w:tr>
      <w:tr w14:paraId="3F1D1FB9">
        <w:tblPrEx>
          <w:tblCellMar>
            <w:top w:w="0" w:type="dxa"/>
            <w:left w:w="108" w:type="dxa"/>
            <w:bottom w:w="0" w:type="dxa"/>
            <w:right w:w="108" w:type="dxa"/>
          </w:tblCellMar>
        </w:tblPrEx>
        <w:trPr>
          <w:trHeight w:val="940"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4CDD480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5</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37002C68">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eastAsia="en-US"/>
              </w:rPr>
              <w:t>滑性</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en-US"/>
              </w:rPr>
              <w:t>干摩擦系数</w:t>
            </w:r>
            <w:r>
              <w:rPr>
                <w:rFonts w:hint="eastAsia" w:ascii="宋体" w:hAnsi="宋体" w:eastAsia="宋体" w:cs="宋体"/>
                <w:color w:val="auto"/>
                <w:spacing w:val="-2"/>
                <w:sz w:val="24"/>
                <w:szCs w:val="24"/>
                <w:highlight w:val="none"/>
              </w:rPr>
              <w:t>）</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32AA75DF">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GBIT4100-2015</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2115AA4C">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≥0.50</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0A8DE5BE">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0.6</w:t>
            </w:r>
          </w:p>
        </w:tc>
      </w:tr>
      <w:tr w14:paraId="2F08CC21">
        <w:tblPrEx>
          <w:tblCellMar>
            <w:top w:w="0" w:type="dxa"/>
            <w:left w:w="108" w:type="dxa"/>
            <w:bottom w:w="0" w:type="dxa"/>
            <w:right w:w="108" w:type="dxa"/>
          </w:tblCellMar>
        </w:tblPrEx>
        <w:trPr>
          <w:trHeight w:val="940"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2DE5E57D">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6</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03038723">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eastAsia="en-US"/>
              </w:rPr>
              <w:t>耐水性</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en-US"/>
              </w:rPr>
              <w:t>168h</w:t>
            </w:r>
            <w:r>
              <w:rPr>
                <w:rFonts w:hint="eastAsia" w:ascii="宋体" w:hAnsi="宋体" w:eastAsia="宋体" w:cs="宋体"/>
                <w:color w:val="auto"/>
                <w:spacing w:val="-2"/>
                <w:sz w:val="24"/>
                <w:szCs w:val="24"/>
                <w:highlight w:val="none"/>
              </w:rPr>
              <w:t>）</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22A47E8F">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480302F5">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不起泡，不剥落，允许轻微变色，2h后恢复</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262C2A31">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不起泡，不剥落，无变色</w:t>
            </w:r>
          </w:p>
        </w:tc>
      </w:tr>
      <w:tr w14:paraId="2D153096">
        <w:tblPrEx>
          <w:tblCellMar>
            <w:top w:w="0" w:type="dxa"/>
            <w:left w:w="108" w:type="dxa"/>
            <w:bottom w:w="0" w:type="dxa"/>
            <w:right w:w="108" w:type="dxa"/>
          </w:tblCellMar>
        </w:tblPrEx>
        <w:trPr>
          <w:trHeight w:val="940" w:hRule="atLeast"/>
        </w:trPr>
        <w:tc>
          <w:tcPr>
            <w:tcW w:w="396" w:type="pct"/>
            <w:vMerge w:val="restart"/>
            <w:tcBorders>
              <w:top w:val="single" w:color="auto" w:sz="4" w:space="0"/>
              <w:left w:val="single" w:color="auto" w:sz="4" w:space="0"/>
              <w:bottom w:val="single" w:color="auto" w:sz="4" w:space="0"/>
              <w:right w:val="single" w:color="auto" w:sz="4" w:space="0"/>
            </w:tcBorders>
            <w:noWrap w:val="0"/>
            <w:vAlign w:val="center"/>
          </w:tcPr>
          <w:p w14:paraId="256669F7">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7</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2282DA50">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耐化学介质</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6C434DE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10%H2SO2</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en-US"/>
              </w:rPr>
              <w:t>常温）</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6A013CA9">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25E48B98">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48小时不起泡，不剥落，允许轻微变色</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5F085CD0">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不起泡，不剥落，无变色</w:t>
            </w:r>
          </w:p>
        </w:tc>
      </w:tr>
      <w:tr w14:paraId="3F371D03">
        <w:tblPrEx>
          <w:tblCellMar>
            <w:top w:w="0" w:type="dxa"/>
            <w:left w:w="108" w:type="dxa"/>
            <w:bottom w:w="0" w:type="dxa"/>
            <w:right w:w="108" w:type="dxa"/>
          </w:tblCellMar>
        </w:tblPrEx>
        <w:trPr>
          <w:trHeight w:val="90" w:hRule="atLeast"/>
        </w:trPr>
        <w:tc>
          <w:tcPr>
            <w:tcW w:w="396" w:type="pct"/>
            <w:vMerge w:val="continue"/>
            <w:tcBorders>
              <w:top w:val="single" w:color="auto" w:sz="4" w:space="0"/>
              <w:left w:val="single" w:color="auto" w:sz="4" w:space="0"/>
              <w:bottom w:val="single" w:color="auto" w:sz="4" w:space="0"/>
              <w:right w:val="single" w:color="auto" w:sz="4" w:space="0"/>
            </w:tcBorders>
            <w:noWrap w:val="0"/>
            <w:vAlign w:val="center"/>
          </w:tcPr>
          <w:p w14:paraId="1D663843">
            <w:pPr>
              <w:spacing w:line="360" w:lineRule="auto"/>
              <w:ind w:firstLine="118" w:firstLineChars="50"/>
              <w:rPr>
                <w:rFonts w:hint="eastAsia" w:ascii="宋体" w:hAnsi="宋体" w:eastAsia="宋体" w:cs="宋体"/>
                <w:color w:val="auto"/>
                <w:spacing w:val="-2"/>
                <w:sz w:val="24"/>
                <w:szCs w:val="24"/>
                <w:highlight w:val="none"/>
              </w:rPr>
            </w:pPr>
          </w:p>
        </w:tc>
        <w:tc>
          <w:tcPr>
            <w:tcW w:w="464" w:type="pct"/>
            <w:tcBorders>
              <w:top w:val="single" w:color="auto" w:sz="4" w:space="0"/>
              <w:left w:val="single" w:color="auto" w:sz="4" w:space="0"/>
              <w:bottom w:val="single" w:color="auto" w:sz="4" w:space="0"/>
              <w:right w:val="single" w:color="auto" w:sz="4" w:space="0"/>
            </w:tcBorders>
            <w:noWrap w:val="0"/>
            <w:vAlign w:val="center"/>
          </w:tcPr>
          <w:p w14:paraId="15F988C1">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耐化学介质</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4C20C85C">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20%NaOH（常温）</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2E492070">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4BE46AAF">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72小时不起泡，不剥落，允许轻微变色</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34F5EA90">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不起泡，不剥落，无变色</w:t>
            </w:r>
          </w:p>
        </w:tc>
      </w:tr>
      <w:tr w14:paraId="15C4D8B0">
        <w:tblPrEx>
          <w:tblCellMar>
            <w:top w:w="0" w:type="dxa"/>
            <w:left w:w="108" w:type="dxa"/>
            <w:bottom w:w="0" w:type="dxa"/>
            <w:right w:w="108" w:type="dxa"/>
          </w:tblCellMar>
        </w:tblPrEx>
        <w:trPr>
          <w:trHeight w:val="940" w:hRule="atLeast"/>
        </w:trPr>
        <w:tc>
          <w:tcPr>
            <w:tcW w:w="396" w:type="pct"/>
            <w:vMerge w:val="continue"/>
            <w:tcBorders>
              <w:top w:val="single" w:color="auto" w:sz="4" w:space="0"/>
              <w:left w:val="single" w:color="auto" w:sz="4" w:space="0"/>
              <w:bottom w:val="single" w:color="auto" w:sz="4" w:space="0"/>
              <w:right w:val="single" w:color="auto" w:sz="4" w:space="0"/>
            </w:tcBorders>
            <w:noWrap w:val="0"/>
            <w:vAlign w:val="center"/>
          </w:tcPr>
          <w:p w14:paraId="6457E9D8">
            <w:pPr>
              <w:spacing w:line="360" w:lineRule="auto"/>
              <w:ind w:firstLine="118" w:firstLineChars="50"/>
              <w:rPr>
                <w:rFonts w:hint="eastAsia" w:ascii="宋体" w:hAnsi="宋体" w:eastAsia="宋体" w:cs="宋体"/>
                <w:color w:val="auto"/>
                <w:spacing w:val="-2"/>
                <w:sz w:val="24"/>
                <w:szCs w:val="24"/>
                <w:highlight w:val="none"/>
              </w:rPr>
            </w:pPr>
          </w:p>
        </w:tc>
        <w:tc>
          <w:tcPr>
            <w:tcW w:w="464" w:type="pct"/>
            <w:tcBorders>
              <w:top w:val="single" w:color="auto" w:sz="4" w:space="0"/>
              <w:left w:val="single" w:color="auto" w:sz="4" w:space="0"/>
              <w:bottom w:val="single" w:color="auto" w:sz="4" w:space="0"/>
              <w:right w:val="single" w:color="auto" w:sz="4" w:space="0"/>
            </w:tcBorders>
            <w:noWrap w:val="0"/>
            <w:vAlign w:val="center"/>
          </w:tcPr>
          <w:p w14:paraId="67DE370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耐化学介质</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4422AB3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120#溶剂油</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21B2F481">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22374-2018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0E673AA9">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72小时不起泡，不剥落，允许轻微变色</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09B66113">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不起泡，不剥落，无变色</w:t>
            </w:r>
          </w:p>
        </w:tc>
      </w:tr>
      <w:tr w14:paraId="0A6F2C0A">
        <w:tblPrEx>
          <w:tblCellMar>
            <w:top w:w="0" w:type="dxa"/>
            <w:left w:w="108" w:type="dxa"/>
            <w:bottom w:w="0" w:type="dxa"/>
            <w:right w:w="108" w:type="dxa"/>
          </w:tblCellMar>
        </w:tblPrEx>
        <w:trPr>
          <w:trHeight w:val="253"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00F5FC81">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8</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56B34C23">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耐沾污性</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16EEB01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ASTM D1308</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181E0629">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5% 肥皂水， 乙醇； 5% NaOH； 黑鞋油； 咖啡连续接触24h无影响</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 xml:space="preserve"> </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00B1E6CF">
            <w:pPr>
              <w:spacing w:line="360" w:lineRule="auto"/>
              <w:ind w:firstLine="118" w:firstLineChars="5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5% 肥皂水， 乙醇； 5% NaOH； 黑鞋油； 咖啡连续接触24h无影响</w:t>
            </w:r>
          </w:p>
        </w:tc>
      </w:tr>
      <w:tr w14:paraId="272FF422">
        <w:tblPrEx>
          <w:tblCellMar>
            <w:top w:w="0" w:type="dxa"/>
            <w:left w:w="108" w:type="dxa"/>
            <w:bottom w:w="0" w:type="dxa"/>
            <w:right w:w="108" w:type="dxa"/>
          </w:tblCellMar>
        </w:tblPrEx>
        <w:trPr>
          <w:trHeight w:val="976"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0D86ECC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9</w:t>
            </w:r>
          </w:p>
        </w:tc>
        <w:tc>
          <w:tcPr>
            <w:tcW w:w="1180" w:type="pct"/>
            <w:gridSpan w:val="2"/>
            <w:tcBorders>
              <w:top w:val="single" w:color="auto" w:sz="4" w:space="0"/>
              <w:left w:val="single" w:color="auto" w:sz="4" w:space="0"/>
              <w:bottom w:val="single" w:color="auto" w:sz="4" w:space="0"/>
              <w:right w:val="single" w:color="auto" w:sz="4" w:space="0"/>
            </w:tcBorders>
            <w:noWrap w:val="0"/>
            <w:vAlign w:val="center"/>
          </w:tcPr>
          <w:p w14:paraId="51570283">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耐霉菌性</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448432CE">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GB/T 1741-2007</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3B5D293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商定</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1AFC2D59">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0级</w:t>
            </w:r>
          </w:p>
        </w:tc>
      </w:tr>
      <w:tr w14:paraId="276734C5">
        <w:tblPrEx>
          <w:tblCellMar>
            <w:top w:w="0" w:type="dxa"/>
            <w:left w:w="108" w:type="dxa"/>
            <w:bottom w:w="0" w:type="dxa"/>
            <w:right w:w="108" w:type="dxa"/>
          </w:tblCellMar>
        </w:tblPrEx>
        <w:trPr>
          <w:trHeight w:val="976"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7B1847A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10</w:t>
            </w:r>
          </w:p>
        </w:tc>
        <w:tc>
          <w:tcPr>
            <w:tcW w:w="1180" w:type="pct"/>
            <w:gridSpan w:val="2"/>
            <w:tcBorders>
              <w:top w:val="single" w:color="auto" w:sz="4" w:space="0"/>
              <w:left w:val="single" w:color="auto" w:sz="4" w:space="0"/>
              <w:bottom w:val="single" w:color="auto" w:sz="4" w:space="0"/>
              <w:right w:val="single" w:color="auto" w:sz="4" w:space="0"/>
            </w:tcBorders>
            <w:noWrap/>
            <w:vAlign w:val="center"/>
          </w:tcPr>
          <w:p w14:paraId="512F78C6">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燃烧性能</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35B751F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GB50222-2017</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07C3CD9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28ABB02D">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rPr>
              <w:t>A2</w:t>
            </w:r>
            <w:r>
              <w:rPr>
                <w:rFonts w:hint="eastAsia" w:ascii="宋体" w:hAnsi="宋体" w:eastAsia="宋体" w:cs="宋体"/>
                <w:color w:val="auto"/>
                <w:spacing w:val="-2"/>
                <w:sz w:val="24"/>
                <w:szCs w:val="24"/>
                <w:highlight w:val="none"/>
                <w:lang w:eastAsia="en-US"/>
              </w:rPr>
              <w:t>级</w:t>
            </w:r>
          </w:p>
        </w:tc>
      </w:tr>
      <w:tr w14:paraId="72EC1DAC">
        <w:tblPrEx>
          <w:tblCellMar>
            <w:top w:w="0" w:type="dxa"/>
            <w:left w:w="108" w:type="dxa"/>
            <w:bottom w:w="0" w:type="dxa"/>
            <w:right w:w="108" w:type="dxa"/>
          </w:tblCellMar>
        </w:tblPrEx>
        <w:trPr>
          <w:trHeight w:val="976"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2B7DD36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11</w:t>
            </w:r>
          </w:p>
        </w:tc>
        <w:tc>
          <w:tcPr>
            <w:tcW w:w="1180" w:type="pct"/>
            <w:gridSpan w:val="2"/>
            <w:tcBorders>
              <w:top w:val="single" w:color="auto" w:sz="4" w:space="0"/>
              <w:left w:val="single" w:color="auto" w:sz="4" w:space="0"/>
              <w:bottom w:val="single" w:color="auto" w:sz="4" w:space="0"/>
              <w:right w:val="single" w:color="auto" w:sz="4" w:space="0"/>
            </w:tcBorders>
            <w:noWrap/>
            <w:vAlign w:val="center"/>
          </w:tcPr>
          <w:p w14:paraId="78AD4847">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吸水率</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67C811BE">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ASTM D570</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14007E3A">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w:t>
            </w:r>
          </w:p>
        </w:tc>
        <w:tc>
          <w:tcPr>
            <w:tcW w:w="1371" w:type="pct"/>
            <w:tcBorders>
              <w:top w:val="single" w:color="auto" w:sz="4" w:space="0"/>
              <w:left w:val="single" w:color="auto" w:sz="4" w:space="0"/>
              <w:bottom w:val="single" w:color="auto" w:sz="4" w:space="0"/>
              <w:right w:val="single" w:color="auto" w:sz="4" w:space="0"/>
            </w:tcBorders>
            <w:noWrap w:val="0"/>
            <w:vAlign w:val="center"/>
          </w:tcPr>
          <w:p w14:paraId="53444827">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接近于0</w:t>
            </w:r>
          </w:p>
        </w:tc>
      </w:tr>
      <w:tr w14:paraId="52A14A02">
        <w:tblPrEx>
          <w:tblCellMar>
            <w:top w:w="0" w:type="dxa"/>
            <w:left w:w="108" w:type="dxa"/>
            <w:bottom w:w="0" w:type="dxa"/>
            <w:right w:w="108" w:type="dxa"/>
          </w:tblCellMar>
        </w:tblPrEx>
        <w:trPr>
          <w:trHeight w:val="985" w:hRule="atLeast"/>
        </w:trPr>
        <w:tc>
          <w:tcPr>
            <w:tcW w:w="396" w:type="pct"/>
            <w:tcBorders>
              <w:top w:val="single" w:color="auto" w:sz="4" w:space="0"/>
              <w:left w:val="single" w:color="auto" w:sz="4" w:space="0"/>
              <w:bottom w:val="single" w:color="auto" w:sz="4" w:space="0"/>
              <w:right w:val="single" w:color="auto" w:sz="4" w:space="0"/>
            </w:tcBorders>
            <w:noWrap/>
            <w:vAlign w:val="center"/>
          </w:tcPr>
          <w:p w14:paraId="5A02D7B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12</w:t>
            </w:r>
          </w:p>
        </w:tc>
        <w:tc>
          <w:tcPr>
            <w:tcW w:w="1180" w:type="pct"/>
            <w:gridSpan w:val="2"/>
            <w:tcBorders>
              <w:top w:val="single" w:color="auto" w:sz="4" w:space="0"/>
              <w:left w:val="single" w:color="auto" w:sz="4" w:space="0"/>
              <w:bottom w:val="single" w:color="auto" w:sz="4" w:space="0"/>
              <w:right w:val="single" w:color="auto" w:sz="4" w:space="0"/>
            </w:tcBorders>
            <w:noWrap/>
            <w:vAlign w:val="center"/>
          </w:tcPr>
          <w:p w14:paraId="25B554BF">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抗热冲击</w:t>
            </w:r>
          </w:p>
        </w:tc>
        <w:tc>
          <w:tcPr>
            <w:tcW w:w="882" w:type="pct"/>
            <w:tcBorders>
              <w:top w:val="single" w:color="auto" w:sz="4" w:space="0"/>
              <w:left w:val="single" w:color="auto" w:sz="4" w:space="0"/>
              <w:bottom w:val="single" w:color="auto" w:sz="4" w:space="0"/>
              <w:right w:val="single" w:color="auto" w:sz="4" w:space="0"/>
            </w:tcBorders>
            <w:noWrap w:val="0"/>
            <w:vAlign w:val="center"/>
          </w:tcPr>
          <w:p w14:paraId="76F3D1DB">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ASTM C884</w:t>
            </w:r>
          </w:p>
        </w:tc>
        <w:tc>
          <w:tcPr>
            <w:tcW w:w="1169" w:type="pct"/>
            <w:tcBorders>
              <w:top w:val="single" w:color="auto" w:sz="4" w:space="0"/>
              <w:left w:val="single" w:color="auto" w:sz="4" w:space="0"/>
              <w:bottom w:val="single" w:color="auto" w:sz="4" w:space="0"/>
              <w:right w:val="single" w:color="auto" w:sz="4" w:space="0"/>
            </w:tcBorders>
            <w:noWrap w:val="0"/>
            <w:vAlign w:val="center"/>
          </w:tcPr>
          <w:p w14:paraId="026D9051">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w:t>
            </w:r>
          </w:p>
        </w:tc>
        <w:tc>
          <w:tcPr>
            <w:tcW w:w="1371" w:type="pct"/>
            <w:tcBorders>
              <w:top w:val="single" w:color="auto" w:sz="4" w:space="0"/>
              <w:left w:val="single" w:color="auto" w:sz="4" w:space="0"/>
              <w:bottom w:val="single" w:color="auto" w:sz="4" w:space="0"/>
              <w:right w:val="single" w:color="auto" w:sz="4" w:space="0"/>
            </w:tcBorders>
            <w:noWrap/>
            <w:vAlign w:val="center"/>
          </w:tcPr>
          <w:p w14:paraId="0BA98F08">
            <w:pPr>
              <w:spacing w:line="360" w:lineRule="auto"/>
              <w:ind w:firstLine="118" w:firstLineChars="50"/>
              <w:jc w:val="center"/>
              <w:rPr>
                <w:rFonts w:hint="eastAsia" w:ascii="宋体" w:hAnsi="宋体" w:eastAsia="宋体" w:cs="宋体"/>
                <w:color w:val="auto"/>
                <w:spacing w:val="-2"/>
                <w:sz w:val="24"/>
                <w:szCs w:val="24"/>
                <w:highlight w:val="none"/>
                <w:lang w:eastAsia="en-US"/>
              </w:rPr>
            </w:pPr>
            <w:r>
              <w:rPr>
                <w:rFonts w:hint="eastAsia" w:ascii="宋体" w:hAnsi="宋体" w:eastAsia="宋体" w:cs="宋体"/>
                <w:color w:val="auto"/>
                <w:spacing w:val="-2"/>
                <w:sz w:val="24"/>
                <w:szCs w:val="24"/>
                <w:highlight w:val="none"/>
                <w:lang w:eastAsia="en-US"/>
              </w:rPr>
              <w:t>合格</w:t>
            </w:r>
          </w:p>
        </w:tc>
      </w:tr>
    </w:tbl>
    <w:p w14:paraId="601F0FA7">
      <w:pPr>
        <w:tabs>
          <w:tab w:val="left" w:pos="2160"/>
        </w:tabs>
        <w:autoSpaceDE w:val="0"/>
        <w:autoSpaceDN w:val="0"/>
        <w:adjustRightInd w:val="0"/>
        <w:spacing w:before="120" w:after="120"/>
        <w:ind w:firstLine="114" w:firstLineChars="50"/>
        <w:outlineLvl w:val="1"/>
        <w:rPr>
          <w:rFonts w:hint="eastAsia" w:ascii="宋体" w:hAnsi="宋体" w:eastAsia="宋体" w:cs="宋体"/>
          <w:b/>
          <w:bCs/>
          <w:color w:val="auto"/>
          <w:w w:val="95"/>
          <w:sz w:val="24"/>
          <w:szCs w:val="24"/>
          <w:highlight w:val="none"/>
        </w:rPr>
      </w:pPr>
      <w:r>
        <w:rPr>
          <w:rFonts w:hint="eastAsia" w:ascii="宋体" w:hAnsi="宋体" w:eastAsia="宋体" w:cs="宋体"/>
          <w:b/>
          <w:bCs/>
          <w:color w:val="auto"/>
          <w:w w:val="95"/>
          <w:sz w:val="24"/>
          <w:szCs w:val="24"/>
          <w:highlight w:val="none"/>
          <w:lang w:eastAsia="zh-CN"/>
        </w:rPr>
        <w:t>4.</w:t>
      </w:r>
      <w:r>
        <w:rPr>
          <w:rFonts w:hint="eastAsia" w:ascii="宋体" w:hAnsi="宋体" w:eastAsia="宋体" w:cs="宋体"/>
          <w:b/>
          <w:bCs/>
          <w:color w:val="auto"/>
          <w:w w:val="95"/>
          <w:sz w:val="24"/>
          <w:szCs w:val="24"/>
          <w:highlight w:val="none"/>
        </w:rPr>
        <w:t>同质透芯PVC地板地面</w:t>
      </w:r>
    </w:p>
    <w:p w14:paraId="62CEBA2C">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地面要求说明：采用2mm厚无方向同质透芯改性强化PVC地面，具备超强抗着色性能、耐污染耐强腐蚀，耐磨，便于清洁，美观大方，安全环保：</w:t>
      </w:r>
    </w:p>
    <w:p w14:paraId="31BE65E9">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（1）耐磨等级T级（EN660-2）</w:t>
      </w:r>
    </w:p>
    <w:p w14:paraId="73B09DCD">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（2）耐高温UV涂层对烟头等高温物品有良好的防护效果</w:t>
      </w:r>
    </w:p>
    <w:p w14:paraId="12895A1E">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（3）高密度FUR处理有较强的抗碘酒及抗菌性能</w:t>
      </w:r>
    </w:p>
    <w:p w14:paraId="5F7C37AE">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（4）环保性</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不含邻苯二甲酸酯类增塑剂，不含TVOC有机挥发物及重金属</w:t>
      </w:r>
    </w:p>
    <w:p w14:paraId="581A20EE">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（5）产品融合纳米银离子，针对600种以上常见微生物有良好的杀菌和抑制效果</w:t>
      </w:r>
    </w:p>
    <w:p w14:paraId="05E04ED8">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（6）具体参数需求</w:t>
      </w:r>
    </w:p>
    <w:tbl>
      <w:tblPr>
        <w:tblStyle w:val="19"/>
        <w:tblW w:w="48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81"/>
        <w:gridCol w:w="3492"/>
        <w:gridCol w:w="41"/>
        <w:gridCol w:w="3299"/>
        <w:gridCol w:w="26"/>
      </w:tblGrid>
      <w:tr w14:paraId="334B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5000" w:type="pct"/>
            <w:gridSpan w:val="5"/>
            <w:noWrap w:val="0"/>
            <w:vAlign w:val="top"/>
          </w:tcPr>
          <w:p w14:paraId="4820F99A">
            <w:pPr>
              <w:spacing w:before="64" w:line="360" w:lineRule="auto"/>
              <w:ind w:left="77" w:firstLine="140"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0"/>
                <w:sz w:val="24"/>
                <w:szCs w:val="24"/>
                <w:highlight w:val="none"/>
                <w:lang w:eastAsia="en-US"/>
              </w:rPr>
              <w:t>类别</w:t>
            </w:r>
          </w:p>
        </w:tc>
      </w:tr>
      <w:tr w14:paraId="5B07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trPr>
        <w:tc>
          <w:tcPr>
            <w:tcW w:w="1618" w:type="pct"/>
            <w:noWrap w:val="0"/>
            <w:vAlign w:val="top"/>
          </w:tcPr>
          <w:p w14:paraId="5E25245B">
            <w:pPr>
              <w:spacing w:before="119"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防火等级</w:t>
            </w:r>
          </w:p>
        </w:tc>
        <w:tc>
          <w:tcPr>
            <w:tcW w:w="1722" w:type="pct"/>
            <w:noWrap w:val="0"/>
            <w:vAlign w:val="top"/>
          </w:tcPr>
          <w:p w14:paraId="77C43BAE">
            <w:pPr>
              <w:spacing w:before="170" w:line="360" w:lineRule="auto"/>
              <w:ind w:left="1357" w:firstLine="119"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1"/>
                <w:sz w:val="24"/>
                <w:szCs w:val="24"/>
                <w:highlight w:val="none"/>
                <w:lang w:eastAsia="en-US"/>
              </w:rPr>
              <w:t>GB8624-2012</w:t>
            </w:r>
          </w:p>
        </w:tc>
        <w:tc>
          <w:tcPr>
            <w:tcW w:w="1658" w:type="pct"/>
            <w:gridSpan w:val="3"/>
            <w:noWrap w:val="0"/>
            <w:vAlign w:val="top"/>
          </w:tcPr>
          <w:p w14:paraId="2CC035F0">
            <w:pPr>
              <w:spacing w:before="170" w:line="360" w:lineRule="auto"/>
              <w:ind w:left="1231" w:firstLine="119"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1"/>
                <w:sz w:val="24"/>
                <w:szCs w:val="24"/>
                <w:highlight w:val="none"/>
                <w:lang w:eastAsia="en-US"/>
              </w:rPr>
              <w:t>B1</w:t>
            </w:r>
          </w:p>
        </w:tc>
      </w:tr>
      <w:tr w14:paraId="6782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trPr>
        <w:tc>
          <w:tcPr>
            <w:tcW w:w="1618" w:type="pct"/>
            <w:noWrap w:val="0"/>
            <w:vAlign w:val="top"/>
          </w:tcPr>
          <w:p w14:paraId="38B25F39">
            <w:pPr>
              <w:spacing w:before="111"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有害物质检测</w:t>
            </w:r>
          </w:p>
        </w:tc>
        <w:tc>
          <w:tcPr>
            <w:tcW w:w="1722" w:type="pct"/>
            <w:noWrap w:val="0"/>
            <w:vAlign w:val="top"/>
          </w:tcPr>
          <w:p w14:paraId="29EC1802">
            <w:pPr>
              <w:spacing w:before="162" w:line="360" w:lineRule="auto"/>
              <w:ind w:left="1307"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GB18586-2001</w:t>
            </w:r>
          </w:p>
        </w:tc>
        <w:tc>
          <w:tcPr>
            <w:tcW w:w="1658" w:type="pct"/>
            <w:gridSpan w:val="3"/>
            <w:noWrap w:val="0"/>
            <w:vAlign w:val="top"/>
          </w:tcPr>
          <w:p w14:paraId="5466C481">
            <w:pPr>
              <w:spacing w:before="120" w:line="360" w:lineRule="auto"/>
              <w:ind w:left="1451" w:firstLine="119"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1"/>
                <w:sz w:val="24"/>
                <w:szCs w:val="24"/>
                <w:highlight w:val="none"/>
                <w:lang w:eastAsia="en-US"/>
              </w:rPr>
              <w:t>合格</w:t>
            </w:r>
          </w:p>
        </w:tc>
      </w:tr>
      <w:tr w14:paraId="7BB5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trPr>
        <w:tc>
          <w:tcPr>
            <w:tcW w:w="1618" w:type="pct"/>
            <w:noWrap w:val="0"/>
            <w:vAlign w:val="top"/>
          </w:tcPr>
          <w:p w14:paraId="028C6D91">
            <w:pPr>
              <w:spacing w:before="129"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抗电阻性</w:t>
            </w:r>
          </w:p>
        </w:tc>
        <w:tc>
          <w:tcPr>
            <w:tcW w:w="1722" w:type="pct"/>
            <w:noWrap w:val="0"/>
            <w:vAlign w:val="top"/>
          </w:tcPr>
          <w:p w14:paraId="020EB366">
            <w:pPr>
              <w:spacing w:before="174" w:line="360" w:lineRule="auto"/>
              <w:ind w:left="1568" w:firstLine="116"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4"/>
                <w:sz w:val="24"/>
                <w:szCs w:val="24"/>
                <w:highlight w:val="none"/>
                <w:lang w:eastAsia="en-US"/>
              </w:rPr>
              <w:t>EN</w:t>
            </w:r>
            <w:r>
              <w:rPr>
                <w:rFonts w:hint="eastAsia" w:ascii="宋体" w:hAnsi="宋体" w:eastAsia="宋体" w:cs="宋体"/>
                <w:color w:val="auto"/>
                <w:spacing w:val="23"/>
                <w:sz w:val="24"/>
                <w:szCs w:val="24"/>
                <w:highlight w:val="none"/>
                <w:lang w:eastAsia="en-US"/>
              </w:rPr>
              <w:t xml:space="preserve"> </w:t>
            </w:r>
            <w:r>
              <w:rPr>
                <w:rFonts w:hint="eastAsia" w:ascii="宋体" w:hAnsi="宋体" w:eastAsia="宋体" w:cs="宋体"/>
                <w:color w:val="auto"/>
                <w:spacing w:val="-4"/>
                <w:sz w:val="24"/>
                <w:szCs w:val="24"/>
                <w:highlight w:val="none"/>
                <w:lang w:eastAsia="en-US"/>
              </w:rPr>
              <w:t>1081</w:t>
            </w:r>
          </w:p>
        </w:tc>
        <w:tc>
          <w:tcPr>
            <w:tcW w:w="1658" w:type="pct"/>
            <w:gridSpan w:val="3"/>
            <w:noWrap w:val="0"/>
            <w:vAlign w:val="top"/>
          </w:tcPr>
          <w:p w14:paraId="16A894B4">
            <w:pPr>
              <w:spacing w:before="148" w:line="360" w:lineRule="auto"/>
              <w:ind w:left="1542"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&gt;10910</w:t>
            </w:r>
          </w:p>
        </w:tc>
      </w:tr>
      <w:tr w14:paraId="70E5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618" w:type="pct"/>
            <w:noWrap w:val="0"/>
            <w:vAlign w:val="top"/>
          </w:tcPr>
          <w:p w14:paraId="4DC90C59">
            <w:pPr>
              <w:spacing w:before="106"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防干</w:t>
            </w:r>
            <w:r>
              <w:rPr>
                <w:rFonts w:hint="eastAsia" w:ascii="宋体" w:hAnsi="宋体" w:eastAsia="宋体" w:cs="宋体"/>
                <w:color w:val="auto"/>
                <w:spacing w:val="-3"/>
                <w:sz w:val="24"/>
                <w:szCs w:val="24"/>
                <w:highlight w:val="none"/>
                <w:lang w:eastAsia="en-US"/>
              </w:rPr>
              <w:t>滑性</w:t>
            </w:r>
          </w:p>
        </w:tc>
        <w:tc>
          <w:tcPr>
            <w:tcW w:w="1722" w:type="pct"/>
            <w:noWrap w:val="0"/>
            <w:vAlign w:val="top"/>
          </w:tcPr>
          <w:p w14:paraId="571E37B8">
            <w:pPr>
              <w:spacing w:before="156" w:line="360" w:lineRule="auto"/>
              <w:ind w:left="1568" w:firstLine="119"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1"/>
                <w:sz w:val="24"/>
                <w:szCs w:val="24"/>
                <w:highlight w:val="none"/>
                <w:lang w:eastAsia="en-US"/>
              </w:rPr>
              <w:t>EN13893</w:t>
            </w:r>
          </w:p>
        </w:tc>
        <w:tc>
          <w:tcPr>
            <w:tcW w:w="1658" w:type="pct"/>
            <w:gridSpan w:val="3"/>
            <w:noWrap w:val="0"/>
            <w:vAlign w:val="top"/>
          </w:tcPr>
          <w:p w14:paraId="30281906">
            <w:pPr>
              <w:spacing w:before="130" w:line="360" w:lineRule="auto"/>
              <w:ind w:left="1581" w:firstLine="114"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6"/>
                <w:sz w:val="24"/>
                <w:szCs w:val="24"/>
                <w:highlight w:val="none"/>
                <w:lang w:eastAsia="en-US"/>
              </w:rPr>
              <w:t>≥0.3</w:t>
            </w:r>
          </w:p>
        </w:tc>
      </w:tr>
      <w:tr w14:paraId="78E7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trPr>
        <w:tc>
          <w:tcPr>
            <w:tcW w:w="1618" w:type="pct"/>
            <w:noWrap w:val="0"/>
            <w:vAlign w:val="top"/>
          </w:tcPr>
          <w:p w14:paraId="492F0956">
            <w:pPr>
              <w:spacing w:before="138"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防湿滑性</w:t>
            </w:r>
          </w:p>
        </w:tc>
        <w:tc>
          <w:tcPr>
            <w:tcW w:w="1722" w:type="pct"/>
            <w:noWrap w:val="0"/>
            <w:vAlign w:val="top"/>
          </w:tcPr>
          <w:p w14:paraId="36166FFE">
            <w:pPr>
              <w:spacing w:before="188" w:line="360" w:lineRule="auto"/>
              <w:ind w:left="1527"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EN</w:t>
            </w:r>
            <w:r>
              <w:rPr>
                <w:rFonts w:hint="eastAsia" w:ascii="宋体" w:hAnsi="宋体" w:eastAsia="宋体" w:cs="宋体"/>
                <w:color w:val="auto"/>
                <w:spacing w:val="10"/>
                <w:sz w:val="24"/>
                <w:szCs w:val="24"/>
                <w:highlight w:val="none"/>
                <w:lang w:eastAsia="en-US"/>
              </w:rPr>
              <w:t xml:space="preserve"> </w:t>
            </w:r>
            <w:r>
              <w:rPr>
                <w:rFonts w:hint="eastAsia" w:ascii="宋体" w:hAnsi="宋体" w:eastAsia="宋体" w:cs="宋体"/>
                <w:color w:val="auto"/>
                <w:spacing w:val="-2"/>
                <w:sz w:val="24"/>
                <w:szCs w:val="24"/>
                <w:highlight w:val="none"/>
                <w:lang w:eastAsia="en-US"/>
              </w:rPr>
              <w:t>51130</w:t>
            </w:r>
          </w:p>
        </w:tc>
        <w:tc>
          <w:tcPr>
            <w:tcW w:w="1658" w:type="pct"/>
            <w:gridSpan w:val="3"/>
            <w:noWrap w:val="0"/>
            <w:vAlign w:val="top"/>
          </w:tcPr>
          <w:p w14:paraId="18484220">
            <w:pPr>
              <w:spacing w:before="189" w:line="360" w:lineRule="auto"/>
              <w:ind w:left="1221"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R9</w:t>
            </w:r>
          </w:p>
        </w:tc>
      </w:tr>
      <w:tr w14:paraId="7DBE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617" w:hRule="atLeast"/>
        </w:trPr>
        <w:tc>
          <w:tcPr>
            <w:tcW w:w="4987" w:type="pct"/>
            <w:gridSpan w:val="4"/>
            <w:noWrap w:val="0"/>
            <w:vAlign w:val="top"/>
          </w:tcPr>
          <w:p w14:paraId="1D21391E">
            <w:pPr>
              <w:spacing w:before="57" w:line="360" w:lineRule="auto"/>
              <w:ind w:left="78" w:firstLine="117"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3"/>
                <w:sz w:val="24"/>
                <w:szCs w:val="24"/>
                <w:highlight w:val="none"/>
                <w:lang w:eastAsia="en-US"/>
              </w:rPr>
              <w:t>性能</w:t>
            </w:r>
          </w:p>
        </w:tc>
      </w:tr>
      <w:tr w14:paraId="3FC2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88" w:hRule="atLeast"/>
        </w:trPr>
        <w:tc>
          <w:tcPr>
            <w:tcW w:w="1618" w:type="pct"/>
            <w:noWrap w:val="0"/>
            <w:vAlign w:val="top"/>
          </w:tcPr>
          <w:p w14:paraId="25A8E12D">
            <w:pPr>
              <w:spacing w:before="127" w:line="360" w:lineRule="auto"/>
              <w:ind w:left="74" w:firstLine="119"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1"/>
                <w:sz w:val="24"/>
                <w:szCs w:val="24"/>
                <w:highlight w:val="none"/>
                <w:lang w:eastAsia="en-US"/>
              </w:rPr>
              <w:t>轮压测试</w:t>
            </w:r>
          </w:p>
        </w:tc>
        <w:tc>
          <w:tcPr>
            <w:tcW w:w="1742" w:type="pct"/>
            <w:gridSpan w:val="2"/>
            <w:noWrap w:val="0"/>
            <w:vAlign w:val="top"/>
          </w:tcPr>
          <w:p w14:paraId="1231BBBC">
            <w:pPr>
              <w:spacing w:before="167" w:line="360" w:lineRule="auto"/>
              <w:ind w:left="948"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EN</w:t>
            </w:r>
            <w:r>
              <w:rPr>
                <w:rFonts w:hint="eastAsia" w:ascii="宋体" w:hAnsi="宋体" w:eastAsia="宋体" w:cs="宋体"/>
                <w:color w:val="auto"/>
                <w:spacing w:val="6"/>
                <w:sz w:val="24"/>
                <w:szCs w:val="24"/>
                <w:highlight w:val="none"/>
                <w:lang w:eastAsia="en-US"/>
              </w:rPr>
              <w:t xml:space="preserve"> </w:t>
            </w:r>
            <w:r>
              <w:rPr>
                <w:rFonts w:hint="eastAsia" w:ascii="宋体" w:hAnsi="宋体" w:eastAsia="宋体" w:cs="宋体"/>
                <w:color w:val="auto"/>
                <w:spacing w:val="-2"/>
                <w:sz w:val="24"/>
                <w:szCs w:val="24"/>
                <w:highlight w:val="none"/>
                <w:lang w:eastAsia="en-US"/>
              </w:rPr>
              <w:t>425</w:t>
            </w:r>
          </w:p>
        </w:tc>
        <w:tc>
          <w:tcPr>
            <w:tcW w:w="1626" w:type="pct"/>
            <w:noWrap w:val="0"/>
            <w:vAlign w:val="top"/>
          </w:tcPr>
          <w:p w14:paraId="2FECECF2">
            <w:pPr>
              <w:spacing w:before="118" w:line="360" w:lineRule="auto"/>
              <w:ind w:left="1244" w:firstLine="117"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3"/>
                <w:sz w:val="24"/>
                <w:szCs w:val="24"/>
                <w:highlight w:val="none"/>
                <w:lang w:eastAsia="en-US"/>
              </w:rPr>
              <w:t>合格</w:t>
            </w:r>
          </w:p>
        </w:tc>
      </w:tr>
      <w:tr w14:paraId="12A0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89" w:hRule="atLeast"/>
        </w:trPr>
        <w:tc>
          <w:tcPr>
            <w:tcW w:w="1618" w:type="pct"/>
            <w:noWrap w:val="0"/>
            <w:vAlign w:val="top"/>
          </w:tcPr>
          <w:p w14:paraId="3D3FA212">
            <w:pPr>
              <w:spacing w:before="125"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颜色稳定性</w:t>
            </w:r>
          </w:p>
        </w:tc>
        <w:tc>
          <w:tcPr>
            <w:tcW w:w="1742" w:type="pct"/>
            <w:gridSpan w:val="2"/>
            <w:noWrap w:val="0"/>
            <w:vAlign w:val="top"/>
          </w:tcPr>
          <w:p w14:paraId="477EFE90">
            <w:pPr>
              <w:spacing w:before="168" w:line="360" w:lineRule="auto"/>
              <w:ind w:left="948"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EN</w:t>
            </w:r>
            <w:r>
              <w:rPr>
                <w:rFonts w:hint="eastAsia" w:ascii="宋体" w:hAnsi="宋体" w:eastAsia="宋体" w:cs="宋体"/>
                <w:color w:val="auto"/>
                <w:spacing w:val="8"/>
                <w:sz w:val="24"/>
                <w:szCs w:val="24"/>
                <w:highlight w:val="none"/>
                <w:lang w:eastAsia="en-US"/>
              </w:rPr>
              <w:t xml:space="preserve"> </w:t>
            </w:r>
            <w:r>
              <w:rPr>
                <w:rFonts w:hint="eastAsia" w:ascii="宋体" w:hAnsi="宋体" w:eastAsia="宋体" w:cs="宋体"/>
                <w:color w:val="auto"/>
                <w:spacing w:val="-2"/>
                <w:sz w:val="24"/>
                <w:szCs w:val="24"/>
                <w:highlight w:val="none"/>
                <w:lang w:eastAsia="en-US"/>
              </w:rPr>
              <w:t>IS0105-B02</w:t>
            </w:r>
          </w:p>
        </w:tc>
        <w:tc>
          <w:tcPr>
            <w:tcW w:w="1626" w:type="pct"/>
            <w:noWrap w:val="0"/>
            <w:vAlign w:val="top"/>
          </w:tcPr>
          <w:p w14:paraId="3FF9F527">
            <w:pPr>
              <w:spacing w:before="143" w:line="360" w:lineRule="auto"/>
              <w:ind w:left="1182" w:firstLine="112"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8"/>
                <w:sz w:val="24"/>
                <w:szCs w:val="24"/>
                <w:highlight w:val="none"/>
                <w:lang w:eastAsia="en-US"/>
              </w:rPr>
              <w:t>≥6</w:t>
            </w:r>
          </w:p>
        </w:tc>
      </w:tr>
      <w:tr w14:paraId="347A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90" w:hRule="atLeast"/>
        </w:trPr>
        <w:tc>
          <w:tcPr>
            <w:tcW w:w="1618" w:type="pct"/>
            <w:noWrap w:val="0"/>
            <w:vAlign w:val="top"/>
          </w:tcPr>
          <w:p w14:paraId="0CD2F479">
            <w:pPr>
              <w:spacing w:before="124" w:line="360" w:lineRule="auto"/>
              <w:ind w:left="74" w:firstLine="119"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1"/>
                <w:sz w:val="24"/>
                <w:szCs w:val="24"/>
                <w:highlight w:val="none"/>
                <w:lang w:eastAsia="en-US"/>
              </w:rPr>
              <w:t>抗化学性</w:t>
            </w:r>
          </w:p>
        </w:tc>
        <w:tc>
          <w:tcPr>
            <w:tcW w:w="1742" w:type="pct"/>
            <w:gridSpan w:val="2"/>
            <w:noWrap w:val="0"/>
            <w:vAlign w:val="top"/>
          </w:tcPr>
          <w:p w14:paraId="4CD57F9E">
            <w:pPr>
              <w:spacing w:before="169" w:line="360" w:lineRule="auto"/>
              <w:ind w:left="948"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EN</w:t>
            </w:r>
            <w:r>
              <w:rPr>
                <w:rFonts w:hint="eastAsia" w:ascii="宋体" w:hAnsi="宋体" w:eastAsia="宋体" w:cs="宋体"/>
                <w:color w:val="auto"/>
                <w:spacing w:val="6"/>
                <w:sz w:val="24"/>
                <w:szCs w:val="24"/>
                <w:highlight w:val="none"/>
                <w:lang w:eastAsia="en-US"/>
              </w:rPr>
              <w:t xml:space="preserve"> </w:t>
            </w:r>
            <w:r>
              <w:rPr>
                <w:rFonts w:hint="eastAsia" w:ascii="宋体" w:hAnsi="宋体" w:eastAsia="宋体" w:cs="宋体"/>
                <w:color w:val="auto"/>
                <w:spacing w:val="-2"/>
                <w:sz w:val="24"/>
                <w:szCs w:val="24"/>
                <w:highlight w:val="none"/>
                <w:lang w:eastAsia="en-US"/>
              </w:rPr>
              <w:t>423</w:t>
            </w:r>
          </w:p>
        </w:tc>
        <w:tc>
          <w:tcPr>
            <w:tcW w:w="1626" w:type="pct"/>
            <w:noWrap w:val="0"/>
            <w:vAlign w:val="top"/>
          </w:tcPr>
          <w:p w14:paraId="62B725DC">
            <w:pPr>
              <w:spacing w:before="128" w:line="360" w:lineRule="auto"/>
              <w:ind w:left="1521" w:firstLine="119"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1"/>
                <w:sz w:val="24"/>
                <w:szCs w:val="24"/>
                <w:highlight w:val="none"/>
                <w:lang w:eastAsia="en-US"/>
              </w:rPr>
              <w:t>好</w:t>
            </w:r>
          </w:p>
        </w:tc>
      </w:tr>
      <w:tr w14:paraId="4DD9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81" w:hRule="atLeast"/>
        </w:trPr>
        <w:tc>
          <w:tcPr>
            <w:tcW w:w="1618" w:type="pct"/>
            <w:noWrap w:val="0"/>
            <w:vAlign w:val="top"/>
          </w:tcPr>
          <w:p w14:paraId="4E82E481">
            <w:pPr>
              <w:spacing w:before="115" w:line="360" w:lineRule="auto"/>
              <w:ind w:left="74" w:firstLine="120"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z w:val="24"/>
                <w:szCs w:val="24"/>
                <w:highlight w:val="none"/>
                <w:lang w:eastAsia="en-US"/>
              </w:rPr>
              <w:t>尺寸</w:t>
            </w:r>
            <w:r>
              <w:rPr>
                <w:rFonts w:hint="eastAsia" w:ascii="宋体" w:hAnsi="宋体" w:eastAsia="宋体" w:cs="宋体"/>
                <w:color w:val="auto"/>
                <w:spacing w:val="-1"/>
                <w:sz w:val="24"/>
                <w:szCs w:val="24"/>
                <w:highlight w:val="none"/>
                <w:lang w:eastAsia="en-US"/>
              </w:rPr>
              <w:t>稳定性</w:t>
            </w:r>
          </w:p>
        </w:tc>
        <w:tc>
          <w:tcPr>
            <w:tcW w:w="1742" w:type="pct"/>
            <w:gridSpan w:val="2"/>
            <w:noWrap w:val="0"/>
            <w:vAlign w:val="top"/>
          </w:tcPr>
          <w:p w14:paraId="64B22BFB">
            <w:pPr>
              <w:spacing w:before="160" w:line="360" w:lineRule="auto"/>
              <w:ind w:left="958"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EN</w:t>
            </w:r>
            <w:r>
              <w:rPr>
                <w:rFonts w:hint="eastAsia" w:ascii="宋体" w:hAnsi="宋体" w:eastAsia="宋体" w:cs="宋体"/>
                <w:color w:val="auto"/>
                <w:spacing w:val="6"/>
                <w:sz w:val="24"/>
                <w:szCs w:val="24"/>
                <w:highlight w:val="none"/>
                <w:lang w:eastAsia="en-US"/>
              </w:rPr>
              <w:t xml:space="preserve"> </w:t>
            </w:r>
            <w:r>
              <w:rPr>
                <w:rFonts w:hint="eastAsia" w:ascii="宋体" w:hAnsi="宋体" w:eastAsia="宋体" w:cs="宋体"/>
                <w:color w:val="auto"/>
                <w:spacing w:val="-2"/>
                <w:sz w:val="24"/>
                <w:szCs w:val="24"/>
                <w:highlight w:val="none"/>
                <w:lang w:eastAsia="en-US"/>
              </w:rPr>
              <w:t>434</w:t>
            </w:r>
          </w:p>
        </w:tc>
        <w:tc>
          <w:tcPr>
            <w:tcW w:w="1626" w:type="pct"/>
            <w:noWrap w:val="0"/>
            <w:vAlign w:val="top"/>
          </w:tcPr>
          <w:p w14:paraId="191738C4">
            <w:pPr>
              <w:spacing w:before="135" w:line="360" w:lineRule="auto"/>
              <w:ind w:left="1521"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&lt;0.40%</w:t>
            </w:r>
          </w:p>
        </w:tc>
      </w:tr>
      <w:tr w14:paraId="39D5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93" w:hRule="atLeast"/>
        </w:trPr>
        <w:tc>
          <w:tcPr>
            <w:tcW w:w="1618" w:type="pct"/>
            <w:noWrap w:val="0"/>
            <w:vAlign w:val="top"/>
          </w:tcPr>
          <w:p w14:paraId="0192349B">
            <w:pPr>
              <w:spacing w:before="130" w:line="360" w:lineRule="auto"/>
              <w:ind w:left="74" w:firstLine="123"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3"/>
                <w:sz w:val="24"/>
                <w:szCs w:val="24"/>
                <w:highlight w:val="none"/>
                <w:lang w:eastAsia="en-US"/>
              </w:rPr>
              <w:t>加热翘曲</w:t>
            </w:r>
          </w:p>
        </w:tc>
        <w:tc>
          <w:tcPr>
            <w:tcW w:w="1742" w:type="pct"/>
            <w:gridSpan w:val="2"/>
            <w:noWrap w:val="0"/>
            <w:vAlign w:val="top"/>
          </w:tcPr>
          <w:p w14:paraId="6FAF0599">
            <w:pPr>
              <w:spacing w:before="172" w:line="360" w:lineRule="auto"/>
              <w:ind w:left="948"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EN</w:t>
            </w:r>
            <w:r>
              <w:rPr>
                <w:rFonts w:hint="eastAsia" w:ascii="宋体" w:hAnsi="宋体" w:eastAsia="宋体" w:cs="宋体"/>
                <w:color w:val="auto"/>
                <w:spacing w:val="6"/>
                <w:sz w:val="24"/>
                <w:szCs w:val="24"/>
                <w:highlight w:val="none"/>
                <w:lang w:eastAsia="en-US"/>
              </w:rPr>
              <w:t xml:space="preserve"> </w:t>
            </w:r>
            <w:r>
              <w:rPr>
                <w:rFonts w:hint="eastAsia" w:ascii="宋体" w:hAnsi="宋体" w:eastAsia="宋体" w:cs="宋体"/>
                <w:color w:val="auto"/>
                <w:spacing w:val="-2"/>
                <w:sz w:val="24"/>
                <w:szCs w:val="24"/>
                <w:highlight w:val="none"/>
                <w:lang w:eastAsia="en-US"/>
              </w:rPr>
              <w:t>434</w:t>
            </w:r>
          </w:p>
        </w:tc>
        <w:tc>
          <w:tcPr>
            <w:tcW w:w="1626" w:type="pct"/>
            <w:noWrap w:val="0"/>
            <w:vAlign w:val="top"/>
          </w:tcPr>
          <w:p w14:paraId="0DEF874E">
            <w:pPr>
              <w:spacing w:before="144" w:line="360" w:lineRule="auto"/>
              <w:ind w:left="1521" w:firstLine="115"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5"/>
                <w:sz w:val="24"/>
                <w:szCs w:val="24"/>
                <w:highlight w:val="none"/>
                <w:lang w:eastAsia="en-US"/>
              </w:rPr>
              <w:t>≤4</w:t>
            </w:r>
            <w:r>
              <w:rPr>
                <w:rFonts w:hint="eastAsia" w:ascii="宋体" w:hAnsi="宋体" w:eastAsia="宋体" w:cs="宋体"/>
                <w:color w:val="auto"/>
                <w:spacing w:val="2"/>
                <w:sz w:val="24"/>
                <w:szCs w:val="24"/>
                <w:highlight w:val="none"/>
                <w:lang w:eastAsia="en-US"/>
              </w:rPr>
              <w:t xml:space="preserve"> </w:t>
            </w:r>
            <w:r>
              <w:rPr>
                <w:rFonts w:hint="eastAsia" w:ascii="宋体" w:hAnsi="宋体" w:eastAsia="宋体" w:cs="宋体"/>
                <w:color w:val="auto"/>
                <w:spacing w:val="-5"/>
                <w:sz w:val="24"/>
                <w:szCs w:val="24"/>
                <w:highlight w:val="none"/>
                <w:lang w:eastAsia="en-US"/>
              </w:rPr>
              <w:t>mm</w:t>
            </w:r>
          </w:p>
        </w:tc>
      </w:tr>
      <w:tr w14:paraId="65BA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56" w:hRule="atLeast"/>
        </w:trPr>
        <w:tc>
          <w:tcPr>
            <w:tcW w:w="1618" w:type="pct"/>
            <w:noWrap w:val="0"/>
            <w:vAlign w:val="top"/>
          </w:tcPr>
          <w:p w14:paraId="49AA221C">
            <w:pPr>
              <w:spacing w:before="119"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表面处理</w:t>
            </w:r>
          </w:p>
        </w:tc>
        <w:tc>
          <w:tcPr>
            <w:tcW w:w="1742" w:type="pct"/>
            <w:gridSpan w:val="2"/>
            <w:noWrap w:val="0"/>
            <w:vAlign w:val="top"/>
          </w:tcPr>
          <w:p w14:paraId="668CE994">
            <w:pPr>
              <w:spacing w:before="126" w:line="360" w:lineRule="auto"/>
              <w:ind w:left="958" w:firstLine="118"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EN</w:t>
            </w:r>
            <w:r>
              <w:rPr>
                <w:rFonts w:hint="eastAsia" w:ascii="宋体" w:hAnsi="宋体" w:eastAsia="宋体" w:cs="宋体"/>
                <w:color w:val="auto"/>
                <w:spacing w:val="16"/>
                <w:sz w:val="24"/>
                <w:szCs w:val="24"/>
                <w:highlight w:val="none"/>
                <w:lang w:eastAsia="en-US"/>
              </w:rPr>
              <w:t xml:space="preserve"> </w:t>
            </w:r>
            <w:r>
              <w:rPr>
                <w:rFonts w:hint="eastAsia" w:ascii="宋体" w:hAnsi="宋体" w:eastAsia="宋体" w:cs="宋体"/>
                <w:color w:val="auto"/>
                <w:spacing w:val="-2"/>
                <w:sz w:val="24"/>
                <w:szCs w:val="24"/>
                <w:highlight w:val="none"/>
                <w:lang w:eastAsia="en-US"/>
              </w:rPr>
              <w:t>IS0717/2</w:t>
            </w:r>
          </w:p>
        </w:tc>
        <w:tc>
          <w:tcPr>
            <w:tcW w:w="1626" w:type="pct"/>
            <w:noWrap w:val="0"/>
            <w:vAlign w:val="top"/>
          </w:tcPr>
          <w:p w14:paraId="03BDF6EB">
            <w:pPr>
              <w:spacing w:before="135" w:line="360" w:lineRule="auto"/>
              <w:ind w:left="1324"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FUR</w:t>
            </w:r>
          </w:p>
        </w:tc>
      </w:tr>
      <w:tr w14:paraId="3239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83" w:hRule="atLeast"/>
        </w:trPr>
        <w:tc>
          <w:tcPr>
            <w:tcW w:w="1618" w:type="pct"/>
            <w:noWrap w:val="0"/>
            <w:vAlign w:val="top"/>
          </w:tcPr>
          <w:p w14:paraId="17D935FF">
            <w:pPr>
              <w:spacing w:before="120" w:line="360" w:lineRule="auto"/>
              <w:ind w:left="7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残余凹陷度</w:t>
            </w:r>
          </w:p>
        </w:tc>
        <w:tc>
          <w:tcPr>
            <w:tcW w:w="1742" w:type="pct"/>
            <w:gridSpan w:val="2"/>
            <w:noWrap w:val="0"/>
            <w:vAlign w:val="top"/>
          </w:tcPr>
          <w:p w14:paraId="59AFC27F">
            <w:pPr>
              <w:spacing w:before="161" w:line="360" w:lineRule="auto"/>
              <w:ind w:left="951" w:firstLine="116"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4"/>
                <w:sz w:val="24"/>
                <w:szCs w:val="24"/>
                <w:highlight w:val="none"/>
                <w:lang w:eastAsia="en-US"/>
              </w:rPr>
              <w:t>EN</w:t>
            </w:r>
            <w:r>
              <w:rPr>
                <w:rFonts w:hint="eastAsia" w:ascii="宋体" w:hAnsi="宋体" w:eastAsia="宋体" w:cs="宋体"/>
                <w:color w:val="auto"/>
                <w:spacing w:val="8"/>
                <w:sz w:val="24"/>
                <w:szCs w:val="24"/>
                <w:highlight w:val="none"/>
                <w:lang w:eastAsia="en-US"/>
              </w:rPr>
              <w:t xml:space="preserve"> </w:t>
            </w:r>
            <w:r>
              <w:rPr>
                <w:rFonts w:hint="eastAsia" w:ascii="宋体" w:hAnsi="宋体" w:eastAsia="宋体" w:cs="宋体"/>
                <w:color w:val="auto"/>
                <w:spacing w:val="-4"/>
                <w:sz w:val="24"/>
                <w:szCs w:val="24"/>
                <w:highlight w:val="none"/>
                <w:lang w:eastAsia="en-US"/>
              </w:rPr>
              <w:t>433</w:t>
            </w:r>
          </w:p>
        </w:tc>
        <w:tc>
          <w:tcPr>
            <w:tcW w:w="1626" w:type="pct"/>
            <w:noWrap w:val="0"/>
            <w:vAlign w:val="top"/>
          </w:tcPr>
          <w:p w14:paraId="66527155">
            <w:pPr>
              <w:spacing w:before="162" w:line="360" w:lineRule="auto"/>
              <w:ind w:left="1524" w:firstLine="117" w:firstLineChars="50"/>
              <w:jc w:val="center"/>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3"/>
                <w:sz w:val="24"/>
                <w:szCs w:val="24"/>
                <w:highlight w:val="none"/>
                <w:lang w:eastAsia="en-US"/>
              </w:rPr>
              <w:t>0.03mm</w:t>
            </w:r>
          </w:p>
        </w:tc>
      </w:tr>
      <w:tr w14:paraId="1D47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42" w:hRule="atLeast"/>
        </w:trPr>
        <w:tc>
          <w:tcPr>
            <w:tcW w:w="1618" w:type="pct"/>
            <w:noWrap w:val="0"/>
            <w:vAlign w:val="top"/>
          </w:tcPr>
          <w:p w14:paraId="4D2A8D64">
            <w:pPr>
              <w:spacing w:before="115" w:line="360" w:lineRule="auto"/>
              <w:ind w:left="87" w:firstLine="118" w:firstLineChars="50"/>
              <w:rPr>
                <w:rFonts w:hint="eastAsia" w:ascii="宋体" w:hAnsi="宋体" w:eastAsia="宋体" w:cs="宋体"/>
                <w:color w:val="auto"/>
                <w:sz w:val="24"/>
                <w:szCs w:val="24"/>
                <w:highlight w:val="none"/>
                <w:lang w:eastAsia="en-US"/>
              </w:rPr>
            </w:pPr>
            <w:r>
              <w:rPr>
                <w:rFonts w:hint="eastAsia" w:ascii="宋体" w:hAnsi="宋体" w:eastAsia="宋体" w:cs="宋体"/>
                <w:color w:val="auto"/>
                <w:spacing w:val="-2"/>
                <w:sz w:val="24"/>
                <w:szCs w:val="24"/>
                <w:highlight w:val="none"/>
                <w:lang w:eastAsia="en-US"/>
              </w:rPr>
              <w:t>抗菌防霉性能</w:t>
            </w:r>
          </w:p>
        </w:tc>
        <w:tc>
          <w:tcPr>
            <w:tcW w:w="1742" w:type="pct"/>
            <w:gridSpan w:val="2"/>
            <w:noWrap w:val="0"/>
            <w:vAlign w:val="top"/>
          </w:tcPr>
          <w:p w14:paraId="7D612565">
            <w:pPr>
              <w:spacing w:line="360" w:lineRule="auto"/>
              <w:ind w:firstLine="118"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ISO 22196:2011</w:t>
            </w:r>
          </w:p>
        </w:tc>
        <w:tc>
          <w:tcPr>
            <w:tcW w:w="1626" w:type="pct"/>
            <w:noWrap w:val="0"/>
            <w:vAlign w:val="top"/>
          </w:tcPr>
          <w:p w14:paraId="529E3BFD">
            <w:pPr>
              <w:spacing w:before="121" w:line="360" w:lineRule="auto"/>
              <w:ind w:left="1524" w:firstLine="117"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99.99%</w:t>
            </w:r>
          </w:p>
        </w:tc>
      </w:tr>
      <w:tr w14:paraId="4A44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6" w:type="dxa"/>
          <w:trHeight w:val="490" w:hRule="atLeast"/>
        </w:trPr>
        <w:tc>
          <w:tcPr>
            <w:tcW w:w="1618" w:type="pct"/>
            <w:noWrap w:val="0"/>
            <w:vAlign w:val="top"/>
          </w:tcPr>
          <w:p w14:paraId="17327517">
            <w:pPr>
              <w:spacing w:before="142" w:line="360" w:lineRule="auto"/>
              <w:ind w:firstLine="118" w:firstLineChars="5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10年抗菌性能测试</w:t>
            </w:r>
          </w:p>
        </w:tc>
        <w:tc>
          <w:tcPr>
            <w:tcW w:w="1742" w:type="pct"/>
            <w:gridSpan w:val="2"/>
            <w:noWrap w:val="0"/>
            <w:vAlign w:val="top"/>
          </w:tcPr>
          <w:p w14:paraId="2DE86190">
            <w:pPr>
              <w:spacing w:line="360" w:lineRule="auto"/>
              <w:ind w:firstLine="118"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ISO 22196:2011</w:t>
            </w:r>
          </w:p>
        </w:tc>
        <w:tc>
          <w:tcPr>
            <w:tcW w:w="1626" w:type="pct"/>
            <w:noWrap w:val="0"/>
            <w:vAlign w:val="top"/>
          </w:tcPr>
          <w:p w14:paraId="271BC104">
            <w:pPr>
              <w:spacing w:before="159" w:line="360" w:lineRule="auto"/>
              <w:ind w:left="1184" w:firstLine="116"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≥99.5%</w:t>
            </w:r>
          </w:p>
        </w:tc>
      </w:tr>
    </w:tbl>
    <w:p w14:paraId="255D2540">
      <w:pPr>
        <w:tabs>
          <w:tab w:val="left" w:pos="2160"/>
        </w:tabs>
        <w:autoSpaceDE w:val="0"/>
        <w:autoSpaceDN w:val="0"/>
        <w:adjustRightInd w:val="0"/>
        <w:spacing w:line="360" w:lineRule="auto"/>
        <w:ind w:firstLine="114" w:firstLineChars="50"/>
        <w:outlineLvl w:val="1"/>
        <w:rPr>
          <w:rFonts w:hint="eastAsia" w:ascii="宋体" w:hAnsi="宋体" w:eastAsia="宋体" w:cs="宋体"/>
          <w:b/>
          <w:bCs/>
          <w:color w:val="auto"/>
          <w:w w:val="95"/>
          <w:sz w:val="24"/>
          <w:szCs w:val="24"/>
          <w:highlight w:val="none"/>
          <w:lang w:val="zh-CN"/>
        </w:rPr>
      </w:pPr>
      <w:bookmarkStart w:id="142" w:name="_Toc11560"/>
      <w:r>
        <w:rPr>
          <w:rFonts w:hint="eastAsia" w:ascii="宋体" w:hAnsi="宋体" w:eastAsia="宋体" w:cs="宋体"/>
          <w:b/>
          <w:bCs/>
          <w:color w:val="auto"/>
          <w:w w:val="95"/>
          <w:sz w:val="24"/>
          <w:szCs w:val="24"/>
          <w:highlight w:val="none"/>
          <w:lang w:eastAsia="zh-CN"/>
        </w:rPr>
        <w:t>5.</w:t>
      </w:r>
      <w:r>
        <w:rPr>
          <w:rFonts w:hint="eastAsia" w:ascii="宋体" w:hAnsi="宋体" w:eastAsia="宋体" w:cs="宋体"/>
          <w:b/>
          <w:bCs/>
          <w:color w:val="auto"/>
          <w:kern w:val="0"/>
          <w:sz w:val="24"/>
          <w:szCs w:val="24"/>
          <w:highlight w:val="none"/>
          <w:lang w:bidi="ar"/>
        </w:rPr>
        <w:t>净化专用钢制密闭门</w:t>
      </w:r>
      <w:bookmarkEnd w:id="142"/>
    </w:p>
    <w:p w14:paraId="185FFFA4">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（1）产品性能</w:t>
      </w:r>
    </w:p>
    <w:p w14:paraId="03529433">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val="zh-CN"/>
        </w:rPr>
        <w:t>抗风压性能</w:t>
      </w:r>
    </w:p>
    <w:p w14:paraId="4DFADF58">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指标值：P3， 3.5kpa≤P3＜ 4.0kpa。</w:t>
      </w:r>
    </w:p>
    <w:p w14:paraId="0D95DF9F">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val="zh-CN"/>
        </w:rPr>
        <w:t>气密性</w:t>
      </w:r>
    </w:p>
    <w:p w14:paraId="2F7DC8D7">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单位缝长分级指标值：q1，0.5＜q1≤ 1.0  单位：m³/（m·h）。</w:t>
      </w:r>
    </w:p>
    <w:p w14:paraId="5EF80058">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单位面积分级指标值：q2，1.5＜q2≤ 3.0  单位：m³/（㎡·h）。</w:t>
      </w:r>
    </w:p>
    <w:p w14:paraId="351AC67A">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zh-CN"/>
        </w:rPr>
        <w:t>隔声性能</w:t>
      </w:r>
    </w:p>
    <w:p w14:paraId="03E2E949">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计权隔声量和粉红噪声频谱修正量之和：</w:t>
      </w: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zh-CN"/>
        </w:rPr>
        <w:t>5db≤Rw+C＜40db。</w:t>
      </w:r>
    </w:p>
    <w:p w14:paraId="2B50AFD2">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pacing w:val="-1"/>
          <w:sz w:val="24"/>
          <w:szCs w:val="24"/>
          <w:highlight w:val="none"/>
          <w:lang w:val="zh-CN"/>
        </w:rPr>
        <w:t>门耐软重物撞击性能</w:t>
      </w:r>
    </w:p>
    <w:p w14:paraId="1ADF7398">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val="zh-CN"/>
        </w:rPr>
        <w:t>门扇所能承受的撞击体最大下落高度：400mm。</w:t>
      </w:r>
    </w:p>
    <w:p w14:paraId="1B8403A7">
      <w:pPr>
        <w:spacing w:line="360" w:lineRule="auto"/>
        <w:ind w:firstLine="119"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（2）技术参数</w:t>
      </w:r>
    </w:p>
    <w:p w14:paraId="5B57DB4E">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1）板材结构：</w:t>
      </w:r>
      <w:r>
        <w:rPr>
          <w:rFonts w:hint="eastAsia" w:ascii="宋体" w:hAnsi="宋体" w:eastAsia="宋体" w:cs="宋体"/>
          <w:color w:val="auto"/>
          <w:spacing w:val="-1"/>
          <w:sz w:val="24"/>
          <w:szCs w:val="24"/>
          <w:highlight w:val="none"/>
        </w:rPr>
        <w:t>门板</w:t>
      </w:r>
      <w:r>
        <w:rPr>
          <w:rFonts w:hint="eastAsia" w:ascii="宋体" w:hAnsi="宋体" w:eastAsia="宋体" w:cs="宋体"/>
          <w:color w:val="auto"/>
          <w:spacing w:val="-1"/>
          <w:sz w:val="24"/>
          <w:szCs w:val="24"/>
          <w:highlight w:val="none"/>
          <w:lang w:val="zh-CN"/>
        </w:rPr>
        <w:t>板材采用镀锌钢板，门板材料厚度≥1.0mm，表面</w:t>
      </w:r>
      <w:r>
        <w:rPr>
          <w:rFonts w:hint="eastAsia" w:ascii="宋体" w:hAnsi="宋体" w:eastAsia="宋体" w:cs="宋体"/>
          <w:color w:val="auto"/>
          <w:spacing w:val="-1"/>
          <w:sz w:val="24"/>
          <w:szCs w:val="24"/>
          <w:highlight w:val="none"/>
        </w:rPr>
        <w:t>喷塑处理，门框材料选用不锈钢，</w:t>
      </w:r>
      <w:r>
        <w:rPr>
          <w:rFonts w:hint="eastAsia" w:ascii="宋体" w:hAnsi="宋体" w:eastAsia="宋体" w:cs="宋体"/>
          <w:color w:val="auto"/>
          <w:spacing w:val="-1"/>
          <w:sz w:val="24"/>
          <w:szCs w:val="24"/>
          <w:highlight w:val="none"/>
          <w:lang w:val="zh-CN"/>
        </w:rPr>
        <w:t>门框材料厚度≥1.2mm，</w:t>
      </w:r>
      <w:r>
        <w:rPr>
          <w:rFonts w:hint="eastAsia" w:ascii="宋体" w:hAnsi="宋体" w:eastAsia="宋体" w:cs="宋体"/>
          <w:color w:val="auto"/>
          <w:spacing w:val="-1"/>
          <w:sz w:val="24"/>
          <w:szCs w:val="24"/>
          <w:highlight w:val="none"/>
        </w:rPr>
        <w:t>耐过氧化氢消毒</w:t>
      </w:r>
      <w:r>
        <w:rPr>
          <w:rFonts w:hint="eastAsia" w:ascii="宋体" w:hAnsi="宋体" w:eastAsia="宋体" w:cs="宋体"/>
          <w:color w:val="auto"/>
          <w:spacing w:val="-1"/>
          <w:sz w:val="24"/>
          <w:szCs w:val="24"/>
          <w:highlight w:val="none"/>
          <w:lang w:val="zh-CN"/>
        </w:rPr>
        <w:t>，无明显凹坑，麻点，硬划痕等缺陷。</w:t>
      </w:r>
    </w:p>
    <w:p w14:paraId="0B991725">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val="zh-CN"/>
        </w:rPr>
        <w:t>内层芯材岩棉≥90g/ m³。</w:t>
      </w:r>
    </w:p>
    <w:p w14:paraId="7AF9D805">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zh-CN"/>
        </w:rPr>
        <w:t>门密封条密封良好，门板注胶自发泡密封条，门扇底部升降式扫尘条。</w:t>
      </w:r>
    </w:p>
    <w:p w14:paraId="153A79A3">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pacing w:val="-1"/>
          <w:sz w:val="24"/>
          <w:szCs w:val="24"/>
          <w:highlight w:val="none"/>
          <w:lang w:val="zh-CN"/>
        </w:rPr>
        <w:t>门把手，铰链采用不锈钢五金件。</w:t>
      </w:r>
    </w:p>
    <w:p w14:paraId="124B899C">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1"/>
          <w:sz w:val="24"/>
          <w:szCs w:val="24"/>
          <w:highlight w:val="none"/>
          <w:lang w:val="zh-CN"/>
        </w:rPr>
        <w:t>观察视窗内置干燥剂且充惰性气体。</w:t>
      </w:r>
    </w:p>
    <w:p w14:paraId="08C727DF">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1"/>
          <w:sz w:val="24"/>
          <w:szCs w:val="24"/>
          <w:highlight w:val="none"/>
          <w:lang w:val="zh-CN"/>
        </w:rPr>
        <w:t>门开启/关闭灵活性：门开启/关闭需灵活、无卡阻和金属摩擦声；门开启角度≥90°。</w:t>
      </w:r>
    </w:p>
    <w:p w14:paraId="4A16B69F">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w:t>
      </w: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zh-CN"/>
        </w:rPr>
        <w:t>）外观质量</w:t>
      </w:r>
    </w:p>
    <w:p w14:paraId="318E35FF">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表面应清洁、光滑、平整、不应有毛刺、焊渣、锤迹、波纹等缺陷；</w:t>
      </w:r>
    </w:p>
    <w:p w14:paraId="6B9537B4">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密封胶条应接头严密、表面平整、无咬边现象，密封胶胶线应平直、均匀。</w:t>
      </w:r>
    </w:p>
    <w:p w14:paraId="2FBAB208">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w:t>
      </w:r>
      <w:r>
        <w:rPr>
          <w:rFonts w:hint="eastAsia" w:ascii="宋体" w:hAnsi="宋体" w:eastAsia="宋体" w:cs="宋体"/>
          <w:color w:val="auto"/>
          <w:spacing w:val="-1"/>
          <w:sz w:val="24"/>
          <w:szCs w:val="24"/>
          <w:highlight w:val="none"/>
        </w:rPr>
        <w:t>4</w:t>
      </w:r>
      <w:r>
        <w:rPr>
          <w:rFonts w:hint="eastAsia" w:ascii="宋体" w:hAnsi="宋体" w:eastAsia="宋体" w:cs="宋体"/>
          <w:color w:val="auto"/>
          <w:spacing w:val="-1"/>
          <w:sz w:val="24"/>
          <w:szCs w:val="24"/>
          <w:highlight w:val="none"/>
          <w:lang w:val="zh-CN"/>
        </w:rPr>
        <w:t>）尺寸偏差</w:t>
      </w:r>
    </w:p>
    <w:p w14:paraId="6864991D">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尺寸应符合图纸所规定的要求。</w:t>
      </w:r>
    </w:p>
    <w:p w14:paraId="4377F250">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1）宽度：尺寸＜2000mm  允许偏差±1.5 mm。</w:t>
      </w:r>
    </w:p>
    <w:p w14:paraId="1BECE024">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val="zh-CN"/>
        </w:rPr>
        <w:t>高度：2000≤尺寸＜3500mm  允许偏差±2.0 mm。</w:t>
      </w:r>
    </w:p>
    <w:p w14:paraId="66F5F686">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val="zh-CN"/>
        </w:rPr>
        <w:t>厚度：±0.5 mm。</w:t>
      </w:r>
    </w:p>
    <w:p w14:paraId="3FE66F76">
      <w:p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rPr>
        <w:t>4）</w:t>
      </w:r>
      <w:r>
        <w:rPr>
          <w:rFonts w:hint="eastAsia" w:ascii="宋体" w:hAnsi="宋体" w:eastAsia="宋体" w:cs="宋体"/>
          <w:color w:val="auto"/>
          <w:spacing w:val="-1"/>
          <w:sz w:val="24"/>
          <w:szCs w:val="24"/>
          <w:highlight w:val="none"/>
          <w:lang w:val="zh-CN"/>
        </w:rPr>
        <w:t>对角线差值：尺寸＜ 2000mm，≤2.0mm。2000≤尺寸＜3500mm，≤3.0mm。</w:t>
      </w:r>
    </w:p>
    <w:p w14:paraId="602E3B11">
      <w:pPr>
        <w:numPr>
          <w:ilvl w:val="0"/>
          <w:numId w:val="7"/>
        </w:numPr>
        <w:spacing w:line="360" w:lineRule="auto"/>
        <w:ind w:firstLine="119" w:firstLineChars="50"/>
        <w:rPr>
          <w:rFonts w:hint="eastAsia" w:ascii="宋体" w:hAnsi="宋体" w:eastAsia="宋体" w:cs="宋体"/>
          <w:color w:val="auto"/>
          <w:spacing w:val="-1"/>
          <w:sz w:val="24"/>
          <w:szCs w:val="24"/>
          <w:highlight w:val="none"/>
          <w:lang w:val="zh-CN"/>
        </w:rPr>
      </w:pPr>
      <w:r>
        <w:rPr>
          <w:rFonts w:hint="eastAsia" w:ascii="宋体" w:hAnsi="宋体" w:eastAsia="宋体" w:cs="宋体"/>
          <w:color w:val="auto"/>
          <w:spacing w:val="-1"/>
          <w:sz w:val="24"/>
          <w:szCs w:val="24"/>
          <w:highlight w:val="none"/>
          <w:lang w:val="zh-CN"/>
        </w:rPr>
        <w:t>门框与门扇间隙：≤3 m。</w:t>
      </w:r>
    </w:p>
    <w:p w14:paraId="73F5C67C">
      <w:pPr>
        <w:spacing w:line="360" w:lineRule="auto"/>
        <w:ind w:firstLine="120" w:firstLineChars="50"/>
        <w:outlineLvl w:val="0"/>
        <w:rPr>
          <w:rFonts w:hint="eastAsia" w:ascii="宋体" w:hAnsi="宋体" w:eastAsia="宋体" w:cs="宋体"/>
          <w:bCs/>
          <w:color w:val="auto"/>
          <w:w w:val="180"/>
          <w:sz w:val="24"/>
          <w:szCs w:val="24"/>
          <w:highlight w:val="none"/>
        </w:rPr>
      </w:pPr>
      <w:bookmarkStart w:id="143" w:name="_Toc31015"/>
      <w:r>
        <w:rPr>
          <w:rFonts w:hint="eastAsia" w:ascii="宋体" w:hAnsi="宋体" w:eastAsia="宋体" w:cs="宋体"/>
          <w:b/>
          <w:bCs/>
          <w:color w:val="auto"/>
          <w:sz w:val="24"/>
          <w:szCs w:val="24"/>
          <w:highlight w:val="none"/>
        </w:rPr>
        <w:t>（三）净化空调、通风设备技术参数要求</w:t>
      </w:r>
      <w:bookmarkEnd w:id="143"/>
      <w:r>
        <w:rPr>
          <w:rFonts w:hint="eastAsia" w:ascii="宋体" w:hAnsi="宋体" w:eastAsia="宋体" w:cs="宋体"/>
          <w:b/>
          <w:bCs/>
          <w:color w:val="auto"/>
          <w:w w:val="180"/>
          <w:sz w:val="24"/>
          <w:szCs w:val="24"/>
          <w:highlight w:val="none"/>
        </w:rPr>
        <w:t xml:space="preserve"> </w:t>
      </w:r>
    </w:p>
    <w:p w14:paraId="2D676E21">
      <w:pPr>
        <w:tabs>
          <w:tab w:val="left" w:pos="2160"/>
        </w:tabs>
        <w:autoSpaceDE w:val="0"/>
        <w:autoSpaceDN w:val="0"/>
        <w:adjustRightInd w:val="0"/>
        <w:spacing w:before="120" w:after="120" w:line="360" w:lineRule="auto"/>
        <w:ind w:firstLine="118" w:firstLineChars="50"/>
        <w:outlineLvl w:val="1"/>
        <w:rPr>
          <w:rFonts w:hint="eastAsia" w:ascii="宋体" w:hAnsi="宋体" w:eastAsia="宋体" w:cs="宋体"/>
          <w:b/>
          <w:bCs/>
          <w:color w:val="auto"/>
          <w:spacing w:val="-2"/>
          <w:sz w:val="24"/>
          <w:szCs w:val="24"/>
          <w:highlight w:val="none"/>
        </w:rPr>
      </w:pPr>
      <w:bookmarkStart w:id="144" w:name="_Toc9608"/>
      <w:r>
        <w:rPr>
          <w:rFonts w:hint="eastAsia" w:ascii="宋体" w:hAnsi="宋体" w:eastAsia="宋体" w:cs="宋体"/>
          <w:b/>
          <w:bCs/>
          <w:color w:val="auto"/>
          <w:spacing w:val="-2"/>
          <w:sz w:val="24"/>
          <w:szCs w:val="24"/>
          <w:highlight w:val="none"/>
          <w:lang w:eastAsia="zh-CN"/>
        </w:rPr>
        <w:t>1.</w:t>
      </w:r>
      <w:r>
        <w:rPr>
          <w:rFonts w:hint="eastAsia" w:ascii="宋体" w:hAnsi="宋体" w:eastAsia="宋体" w:cs="宋体"/>
          <w:b/>
          <w:bCs/>
          <w:color w:val="auto"/>
          <w:spacing w:val="-2"/>
          <w:sz w:val="24"/>
          <w:szCs w:val="24"/>
          <w:highlight w:val="none"/>
        </w:rPr>
        <w:t>双通道组合式空气处理机组（风机过滤器一用一备）</w:t>
      </w:r>
      <w:bookmarkEnd w:id="144"/>
      <w:r>
        <w:rPr>
          <w:rFonts w:hint="eastAsia" w:ascii="宋体" w:hAnsi="宋体" w:eastAsia="宋体" w:cs="宋体"/>
          <w:b/>
          <w:bCs/>
          <w:color w:val="auto"/>
          <w:spacing w:val="-2"/>
          <w:sz w:val="24"/>
          <w:szCs w:val="24"/>
          <w:highlight w:val="none"/>
        </w:rPr>
        <w:t xml:space="preserve"> </w:t>
      </w:r>
    </w:p>
    <w:p w14:paraId="7E65822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双通道组合式空气处理机组由新风段+初效过滤段+风机段+均流段+中效过滤段+表冷/加热段+再热</w:t>
      </w:r>
      <w:r>
        <w:rPr>
          <w:rFonts w:hint="eastAsia" w:ascii="宋体" w:hAnsi="宋体" w:eastAsia="宋体" w:cs="宋体"/>
          <w:color w:val="auto"/>
          <w:spacing w:val="-2"/>
          <w:sz w:val="24"/>
          <w:szCs w:val="24"/>
          <w:highlight w:val="none"/>
        </w:rPr>
        <w:t>段+加湿段+出风段组合而成。机组送风量、电压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380V、电机功率、机外余压、制冷制热量、热水</w:t>
      </w:r>
      <w:r>
        <w:rPr>
          <w:rFonts w:hint="eastAsia" w:ascii="宋体" w:hAnsi="宋体" w:eastAsia="宋体" w:cs="宋体"/>
          <w:color w:val="auto"/>
          <w:spacing w:val="-96"/>
          <w:sz w:val="24"/>
          <w:szCs w:val="24"/>
          <w:highlight w:val="none"/>
        </w:rPr>
        <w:t xml:space="preserve"> </w:t>
      </w:r>
      <w:r>
        <w:rPr>
          <w:rFonts w:hint="eastAsia" w:ascii="宋体" w:hAnsi="宋体" w:eastAsia="宋体" w:cs="宋体"/>
          <w:color w:val="auto"/>
          <w:sz w:val="24"/>
          <w:szCs w:val="24"/>
          <w:highlight w:val="none"/>
        </w:rPr>
        <w:t xml:space="preserve">再热量、电极加湿量、电极加湿电功率等均根据设计图确定。 </w:t>
      </w:r>
    </w:p>
    <w:p w14:paraId="12BDB627">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1.1、主要技术参数要求</w:t>
      </w:r>
    </w:p>
    <w:p w14:paraId="3B25880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实验室送风采用全新风系统，应设置初、中、高三级过滤系统，送排风机 </w:t>
      </w:r>
      <w:r>
        <w:rPr>
          <w:rFonts w:hint="eastAsia" w:ascii="宋体" w:hAnsi="宋体" w:eastAsia="宋体" w:cs="宋体"/>
          <w:color w:val="auto"/>
          <w:spacing w:val="-6"/>
          <w:sz w:val="24"/>
          <w:szCs w:val="24"/>
          <w:highlight w:val="none"/>
        </w:rPr>
        <w:t>必须连锁，送风先于排风开启，后于排风关闭。</w:t>
      </w:r>
      <w:r>
        <w:rPr>
          <w:rFonts w:hint="eastAsia" w:ascii="宋体" w:hAnsi="宋体" w:eastAsia="宋体" w:cs="宋体"/>
          <w:color w:val="auto"/>
          <w:sz w:val="24"/>
          <w:szCs w:val="24"/>
          <w:highlight w:val="none"/>
        </w:rPr>
        <w:t xml:space="preserve"> </w:t>
      </w:r>
    </w:p>
    <w:p w14:paraId="0600CE1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1）、设备电源系统、控制系统所选用的器件、电线等应为国家合格产品，可长期稳定工作。</w:t>
      </w:r>
    </w:p>
    <w:p w14:paraId="7613E4A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2）、设备电源系统、控制系统、冷水系统布局合理、不相互影响。</w:t>
      </w:r>
    </w:p>
    <w:p w14:paraId="036677E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3）、设备的内部各零部件光洁、不得有任何油污、灰尘及其他物质存在。</w:t>
      </w:r>
    </w:p>
    <w:p w14:paraId="5CD60A3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4）、设备的表面光滑、平整， 不得有影响外观的缺陷。</w:t>
      </w:r>
    </w:p>
    <w:p w14:paraId="15F7EC0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5）、设备各处保护、装饰涂层应均匀，不得存在起皮、剥落或</w:t>
      </w:r>
      <w:r>
        <w:rPr>
          <w:rFonts w:hint="eastAsia" w:ascii="宋体" w:hAnsi="宋体" w:eastAsia="宋体" w:cs="宋体"/>
          <w:color w:val="auto"/>
          <w:sz w:val="24"/>
          <w:szCs w:val="24"/>
          <w:highlight w:val="none"/>
          <w:lang w:eastAsia="zh-CN"/>
        </w:rPr>
        <w:t>其他缺陷</w:t>
      </w:r>
      <w:r>
        <w:rPr>
          <w:rFonts w:hint="eastAsia" w:ascii="宋体" w:hAnsi="宋体" w:eastAsia="宋体" w:cs="宋体"/>
          <w:color w:val="auto"/>
          <w:sz w:val="24"/>
          <w:szCs w:val="24"/>
          <w:highlight w:val="none"/>
        </w:rPr>
        <w:t>。</w:t>
      </w:r>
    </w:p>
    <w:p w14:paraId="61B2EAD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6）、各附属物的安装位置要求准确， 各部分均不应存在妨碍安装、检修或清洁的缺陷。</w:t>
      </w:r>
    </w:p>
    <w:p w14:paraId="45B05F1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7）、设备不用时，表冷、加热及冷凝水可完全排净。</w:t>
      </w:r>
    </w:p>
    <w:p w14:paraId="7E83B48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8）、人能接触到的设备部位不能有锋利的边缘与尖角。</w:t>
      </w:r>
    </w:p>
    <w:p w14:paraId="5DBAA09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9）、设备安装必须具有可靠的接地。</w:t>
      </w:r>
    </w:p>
    <w:p w14:paraId="38DC6B0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 相应的功能段设置低压LED照明灯，电压不大于36V。</w:t>
      </w:r>
    </w:p>
    <w:p w14:paraId="4F07BFF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11）、机组底架应作防腐处理。</w:t>
      </w:r>
    </w:p>
    <w:p w14:paraId="3C74CFE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12）、机组的混合段、回风段、送风段等需要与风管连接的功能段风口均须配置法兰/风阀，风口尺寸按空调机组设计要求设定。</w:t>
      </w:r>
    </w:p>
    <w:p w14:paraId="150BFC2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13）、所有功能段应贴有功能名称、安全维护警告等。</w:t>
      </w:r>
    </w:p>
    <w:p w14:paraId="50F47F05">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1.2、设备箱体及面板要求</w:t>
      </w:r>
    </w:p>
    <w:p w14:paraId="4429E17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（1）空调箱体采用断冷桥铝合金双层框架结构，框架铝合金需阳极处理，外形美观大方，内框架角插需采用高强度PVC材料，有做断冷桥设计。</w:t>
      </w:r>
    </w:p>
    <w:p w14:paraId="17BDC32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（2）为了防止冷桥出现，空调箱体面板内、外钢板不得直接接触，搭接处应有断冷桥介质隔开。</w:t>
      </w:r>
    </w:p>
    <w:p w14:paraId="73ABBA2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（3）空调箱体面板与框架之间采用连续无缝弹性密封材料密封，密封材料不得有接头。</w:t>
      </w:r>
    </w:p>
    <w:p w14:paraId="5198C10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（4）为了确保机组正压段不漏风，机组面板与框架必须采用螺钉或螺栓紧固，螺钉或螺栓不得直接裸露在面板表面。</w:t>
      </w:r>
    </w:p>
    <w:p w14:paraId="66CF30F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（5）箱体面板采用内、外钢板中间充注50mm 厚度硬质非燃性或自熄性聚氨酯发泡材料，密度不得小于45kg/m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w:t>
      </w:r>
    </w:p>
    <w:p w14:paraId="47152AC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（6）箱体面板总厚度不得小于 50mm。外板采用镀锌彩钢板，板厚不得低于 0.5mm，内板采用镀锌板，板厚不得低于0.5mm。机组底板也应采用与侧板相同形式的发泡板，不允许采用手动发泡或者外贴保温棉处理。</w:t>
      </w:r>
    </w:p>
    <w:p w14:paraId="54D5E4A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（7）机组必须有防冷桥措施，机组在运行时，不得出现冷桥和凝露现象。</w:t>
      </w:r>
    </w:p>
    <w:p w14:paraId="70E4F2C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 机组箱体应具有足够的强度，保证在运输、安装、启动、运行、停止后，不出现凹凸变形。当机组内静压保持正压1000Pa时，箱体变形率不得大于0.7mm/m。</w:t>
      </w:r>
    </w:p>
    <w:p w14:paraId="47E3B19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 机组箱体横向断面风速应均匀， 按照 GB/T14294-2026《组合式空调机组》标准检测，机组断面风速均匀度不得低于90%。</w:t>
      </w:r>
    </w:p>
    <w:p w14:paraId="3FABFD4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▲（10）箱体应具有良好的气密性，按照 GB/T14294-2026《组合式空调机组》标准检测。-400Pa时机组L1级漏风率≤0.15L/（s.㎡），700Pa时机组L1级漏风率≤0.22L/（s.㎡），提供具有CMA或CNAS资质的第三方检测报告证明，报告内应有具体的漏风率。</w:t>
      </w:r>
    </w:p>
    <w:p w14:paraId="7FA1B57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（11）风机段、加湿段、过滤段以及其他需要的地方安装直径不小于190mm的钢化玻璃观察窗。</w:t>
      </w:r>
    </w:p>
    <w:p w14:paraId="3C26A67C">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1.3、表冷段要求</w:t>
      </w:r>
    </w:p>
    <w:p w14:paraId="7030EBD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（1）表冷器应具有换热性能系数高、空气阻力低、防腐等性能，应采用紫铜管串亲水膜铝翅片经机械胀紧的结构形式，保持其良好的传热效果。</w:t>
      </w:r>
    </w:p>
    <w:p w14:paraId="336A723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（2）表冷器空气阻力应足够小，应采用圆管换热器或增大片距的措施以降低空气阻力。</w:t>
      </w:r>
    </w:p>
    <w:p w14:paraId="136A70D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（3）分、集水管采用无缝钢管，进出水管采用丝扣连接。</w:t>
      </w:r>
    </w:p>
    <w:p w14:paraId="67DB8E3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（4）表冷器出水口接管上带放空气阀，进水口接管上带排污阀；表冷器进、出水接管与箱体应采取良好的密封措施。</w:t>
      </w:r>
    </w:p>
    <w:p w14:paraId="27C3166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（5）表冷器须设置排污阀且应采用防冻型结构，以保证盘管内的水能够彻底排净，防止冬天冻裂。</w:t>
      </w:r>
    </w:p>
    <w:p w14:paraId="5800241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（6）表冷器存水盘为不锈钢材料， 采用倾斜倾角设计，保证凝结水顺利排出，使水盘始终处于“干式”状态。水盘外贴橡塑保温</w:t>
      </w:r>
      <w:r>
        <w:rPr>
          <w:rFonts w:hint="eastAsia" w:ascii="宋体" w:hAnsi="宋体" w:eastAsia="宋体" w:cs="宋体"/>
          <w:color w:val="auto"/>
          <w:sz w:val="24"/>
          <w:szCs w:val="24"/>
          <w:highlight w:val="none"/>
          <w:lang w:eastAsia="zh-CN"/>
        </w:rPr>
        <w:t>材料</w:t>
      </w:r>
      <w:r>
        <w:rPr>
          <w:rFonts w:hint="eastAsia" w:ascii="宋体" w:hAnsi="宋体" w:eastAsia="宋体" w:cs="宋体"/>
          <w:color w:val="auto"/>
          <w:sz w:val="24"/>
          <w:szCs w:val="24"/>
          <w:highlight w:val="none"/>
        </w:rPr>
        <w:t>。水盘应置于箱体上，水盘排水口距离基础高度至少大于180mm以上。</w:t>
      </w:r>
    </w:p>
    <w:p w14:paraId="19C315B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（7）表冷器的迎面风速不得大于2.5m/s。</w:t>
      </w:r>
    </w:p>
    <w:p w14:paraId="61B8AC3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（8）表冷器盘管设计工作压力不低于1.6MPa，且每台均需经过2.5MPa的高压气体检漏及严格的气密性试验。</w:t>
      </w:r>
    </w:p>
    <w:p w14:paraId="2F73C8F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（9）表冷器的进风断面风速均匀度应不小于90%。</w:t>
      </w:r>
    </w:p>
    <w:p w14:paraId="305C3AD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（10）为了确保夏季表冷器的除湿功能，表冷器和下游的再热器之间应设置挡水板， 如果不设置挡水板，两者的距离不得小于200mm。</w:t>
      </w:r>
    </w:p>
    <w:p w14:paraId="08A8359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空调设计需保证冷凝水在挡水板处充分拦截收集。排水液封高度不小于1.5 倍的送风机最大压头，排水管道排量不低于最大凝水量的1.5 倍。</w:t>
      </w:r>
    </w:p>
    <w:p w14:paraId="624478E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（12）表冷器需要经过多维振动台高频测试，焊点不得泄漏。</w:t>
      </w:r>
    </w:p>
    <w:p w14:paraId="5A37F4B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1.4、加热段要求</w:t>
      </w:r>
    </w:p>
    <w:p w14:paraId="3B960DC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（1）加热盘管采用换热性能系数高、空气阻力低、防腐等性能，应采用紫铜管串亲水膜铝翅片经机械胀紧的结构形式，保持其良好的传热效果。</w:t>
      </w:r>
    </w:p>
    <w:p w14:paraId="279A943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表冷器空气阻力应足够小，应采用换热器或增大片距的措施以降低空气阻力。</w:t>
      </w:r>
    </w:p>
    <w:p w14:paraId="7DF0663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风量大于等于30000CMH机组铜管采用外径为15.88*0.41mm，其他风量采用12.7*0.37mm。镀亲水膜铝箔片壁厚不低于0.115mm，铜管采用紫铜脱氧管。</w:t>
      </w:r>
    </w:p>
    <w:p w14:paraId="5E11257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蒸汽预热盘管应采用镀锌板套铝片形式，镀锌板管规格为16mm*1.0mm，镀亲水膜铝箔片壁厚不低于0.115mm。</w:t>
      </w:r>
    </w:p>
    <w:p w14:paraId="41BC9D6D">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1.5、风机段要求</w:t>
      </w:r>
    </w:p>
    <w:p w14:paraId="389FA9A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（1）变频运行机组采用无蜗壳风机，风机应具有优越的空气动力特性、运行点准确、高效区域宽广、震动小、噪音低、寿命长等特点。无蜗壳风机运行频率应控制在40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60Hz。无蜗壳运行转速应在风机最大运行转速的95%以下运行。风机至少有10%以上的运行余量。普通机组采用皮带式风机，风机品牌采用知名品牌。</w:t>
      </w:r>
    </w:p>
    <w:p w14:paraId="13F2833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（2）电机采用知名品牌三相异步变频电机，并配置变频控制器。</w:t>
      </w:r>
    </w:p>
    <w:p w14:paraId="7818C50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（3）风机和电机整体安装在带有多维减震器的同一钢制风机架上，振动小、运行噪声低， 质量可靠并可方便地调节皮带的松紧。</w:t>
      </w:r>
    </w:p>
    <w:p w14:paraId="739BF6E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（4）为消除风机组件对机组造成的振动影响，在底座和风机架之间应设置减振装置进行隔振，有效地减少机组的振动。双通道机组上下放置的风机电机也需要有同样的减震要求。风机电机相对底座应采用槽钢。</w:t>
      </w:r>
    </w:p>
    <w:p w14:paraId="417A491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（5）电机绝缘等级不低于F 级，防护等级不低于IP55。</w:t>
      </w:r>
    </w:p>
    <w:p w14:paraId="04C6841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（6）风机段与风机出口后面的功能段之间需设置均流段。</w:t>
      </w:r>
    </w:p>
    <w:p w14:paraId="39C97BE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（7）风机出风口与箱体采用柔性软接头连接，风机段设有检修门。</w:t>
      </w:r>
    </w:p>
    <w:p w14:paraId="627B7979">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1.6、过滤段要求</w:t>
      </w:r>
    </w:p>
    <w:p w14:paraId="30C48E9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（1）过滤器采用初、中效，具有过滤效率高，初阻力小、性能稳定、通用性强等特点。初、中效过滤器均采用袋式过滤器，且袋长不小于380mm。</w:t>
      </w:r>
    </w:p>
    <w:p w14:paraId="5E19C14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（2）初、中效过滤器两侧应安装指针微压差计，供过滤器清洗、更换参考。压差计量程应与各级过滤器阻力相匹配，以保证最佳精度显示。</w:t>
      </w:r>
    </w:p>
    <w:p w14:paraId="334AD26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（3）初、中效过滤器，采用合理结构，充分保证过滤器与过滤器框架、过滤器框架与机组内框的密封性，避免未经过滤的空气流过，确保过滤效率。</w:t>
      </w:r>
    </w:p>
    <w:p w14:paraId="57072EE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初、中效过滤器与框架安装应方便拆卸。过滤器安装框架采用镀锌材质。框架与框架之间应采用螺栓固定，保证框架强度。</w:t>
      </w:r>
    </w:p>
    <w:p w14:paraId="6D184B4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（5）中效过滤器应安装在机组的正压段。</w:t>
      </w:r>
    </w:p>
    <w:p w14:paraId="5A6B2A10">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1.7、加湿段要求</w:t>
      </w:r>
    </w:p>
    <w:p w14:paraId="1B119E0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（1）采用蒸汽加湿器或其他要求的形式。蒸汽压力为0.2-0.3MPa。</w:t>
      </w:r>
    </w:p>
    <w:p w14:paraId="303B09F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（2）如果加湿器放置在中效过滤器前，则加湿器段不得与中效过滤段直接相邻段，之间必须配置中间段，以提高蒸汽扩散度，同时便于加湿器维护与过滤器更换。</w:t>
      </w:r>
    </w:p>
    <w:p w14:paraId="5E742F0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（3）存水盘材质为不低于304不锈钢材料，并保证凝结水顺利排出，使水盘始终处于“干式”状态。水盘外贴橡塑保温材料材料。水盘应置于箱体上，水盘排水口距离基础高度至少大于180mm以上。</w:t>
      </w:r>
    </w:p>
    <w:p w14:paraId="5814BC7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（4）加湿器采用不低于304不锈钢材质制造，外型美观，耐腐蚀，加湿效率高、使用寿命长。配电动调节阀。</w:t>
      </w:r>
    </w:p>
    <w:p w14:paraId="3991167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1.8、</w:t>
      </w:r>
      <w:r>
        <w:rPr>
          <w:rFonts w:hint="eastAsia" w:ascii="宋体" w:hAnsi="宋体" w:eastAsia="宋体" w:cs="宋体"/>
          <w:color w:val="auto"/>
          <w:sz w:val="24"/>
          <w:szCs w:val="24"/>
          <w:highlight w:val="none"/>
        </w:rPr>
        <w:t>主要配件品牌及材料均选用知名品牌产品，可靠耐用，投标文件内详细列明风机、电机、电气元件及过滤器等主要部件的品牌与技术参数。</w:t>
      </w:r>
    </w:p>
    <w:p w14:paraId="75102C80">
      <w:pPr>
        <w:tabs>
          <w:tab w:val="left" w:pos="2160"/>
        </w:tabs>
        <w:autoSpaceDE w:val="0"/>
        <w:autoSpaceDN w:val="0"/>
        <w:adjustRightInd w:val="0"/>
        <w:spacing w:line="360" w:lineRule="auto"/>
        <w:ind w:firstLine="118" w:firstLineChars="50"/>
        <w:outlineLvl w:val="1"/>
        <w:rPr>
          <w:rFonts w:hint="eastAsia" w:ascii="宋体" w:hAnsi="宋体" w:eastAsia="宋体" w:cs="宋体"/>
          <w:bCs/>
          <w:color w:val="auto"/>
          <w:w w:val="180"/>
          <w:sz w:val="24"/>
          <w:szCs w:val="24"/>
          <w:highlight w:val="none"/>
        </w:rPr>
      </w:pPr>
      <w:bookmarkStart w:id="145" w:name="_Toc27188"/>
      <w:r>
        <w:rPr>
          <w:rFonts w:hint="eastAsia" w:ascii="宋体" w:hAnsi="宋体" w:eastAsia="宋体" w:cs="宋体"/>
          <w:b/>
          <w:bCs/>
          <w:color w:val="auto"/>
          <w:spacing w:val="-2"/>
          <w:sz w:val="24"/>
          <w:szCs w:val="24"/>
          <w:highlight w:val="none"/>
        </w:rPr>
        <w:t>2、双通道排风机组（风机过滤器一用一备）</w:t>
      </w:r>
      <w:bookmarkEnd w:id="145"/>
    </w:p>
    <w:p w14:paraId="55F615F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排风机组由进风段+初效过滤段+排风机段。电机功率、机外余压根据设计图而定。</w:t>
      </w:r>
    </w:p>
    <w:p w14:paraId="314DB6B8">
      <w:pPr>
        <w:spacing w:line="360" w:lineRule="auto"/>
        <w:ind w:firstLine="116" w:firstLineChars="5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（1）双通道排风机组为一用一备，且两台机组互为备用，两台风机无缝切换时不得影</w:t>
      </w:r>
      <w:r>
        <w:rPr>
          <w:rFonts w:hint="eastAsia" w:ascii="宋体" w:hAnsi="宋体" w:eastAsia="宋体" w:cs="宋体"/>
          <w:color w:val="auto"/>
          <w:sz w:val="24"/>
          <w:szCs w:val="24"/>
          <w:highlight w:val="none"/>
        </w:rPr>
        <w:t>响实验室定向流和压力工况。（2）箱体要求：内壁要求不低于1mm不低于304#不锈钢材质。金属框架结构，箱板与框架采用螺钉</w:t>
      </w:r>
      <w:r>
        <w:rPr>
          <w:rFonts w:hint="eastAsia" w:ascii="宋体" w:hAnsi="宋体" w:eastAsia="宋体" w:cs="宋体"/>
          <w:color w:val="auto"/>
          <w:spacing w:val="-1"/>
          <w:sz w:val="24"/>
          <w:szCs w:val="24"/>
          <w:highlight w:val="none"/>
        </w:rPr>
        <w:t>联接，螺钉为内藏式并与空气隔离，以保证永不生锈。机组每一块箱板均可以独立拆下，以方便</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z w:val="24"/>
          <w:szCs w:val="24"/>
          <w:highlight w:val="none"/>
        </w:rPr>
        <w:t>大部件更换或维修。</w:t>
      </w:r>
    </w:p>
    <w:p w14:paraId="0628923E">
      <w:pPr>
        <w:spacing w:line="360" w:lineRule="auto"/>
        <w:ind w:firstLine="118" w:firstLineChars="5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（3）风机采用无蜗壳变频风机设计，转速应有足够的余量，一般不得低于20%，以保证轴承安</w:t>
      </w:r>
      <w:r>
        <w:rPr>
          <w:rFonts w:hint="eastAsia" w:ascii="宋体" w:hAnsi="宋体" w:eastAsia="宋体" w:cs="宋体"/>
          <w:color w:val="auto"/>
          <w:sz w:val="24"/>
          <w:szCs w:val="24"/>
          <w:highlight w:val="none"/>
        </w:rPr>
        <w:t>全。风机的选择优先考虑</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z w:val="24"/>
          <w:szCs w:val="24"/>
          <w:highlight w:val="none"/>
        </w:rPr>
        <w:t>20</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z w:val="24"/>
          <w:szCs w:val="24"/>
          <w:highlight w:val="none"/>
        </w:rPr>
        <w:t>年以上的寿命、高效率、低噪音，风机效率全压效率不低于</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3"/>
          <w:sz w:val="24"/>
          <w:szCs w:val="24"/>
          <w:highlight w:val="none"/>
        </w:rPr>
        <w:t>70%。</w:t>
      </w:r>
      <w:r>
        <w:rPr>
          <w:rFonts w:hint="eastAsia" w:ascii="宋体" w:hAnsi="宋体" w:eastAsia="宋体" w:cs="宋体"/>
          <w:color w:val="auto"/>
          <w:sz w:val="24"/>
          <w:szCs w:val="24"/>
          <w:highlight w:val="none"/>
        </w:rPr>
        <w:t xml:space="preserve"> </w:t>
      </w:r>
    </w:p>
    <w:p w14:paraId="74EBDF10">
      <w:pPr>
        <w:spacing w:line="360" w:lineRule="auto"/>
        <w:ind w:firstLine="118" w:firstLineChars="5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（4）电机采用知名品牌品牌优质三相异步变频电动机，不低于国标三级能效、欧标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IE2，防护</w:t>
      </w:r>
      <w:r>
        <w:rPr>
          <w:rFonts w:hint="eastAsia" w:ascii="宋体" w:hAnsi="宋体" w:eastAsia="宋体" w:cs="宋体"/>
          <w:color w:val="auto"/>
          <w:sz w:val="24"/>
          <w:szCs w:val="24"/>
          <w:highlight w:val="none"/>
        </w:rPr>
        <w:t>等级不低于</w:t>
      </w:r>
      <w:r>
        <w:rPr>
          <w:rFonts w:hint="eastAsia" w:ascii="宋体" w:hAnsi="宋体" w:eastAsia="宋体" w:cs="宋体"/>
          <w:color w:val="auto"/>
          <w:spacing w:val="-47"/>
          <w:sz w:val="24"/>
          <w:szCs w:val="24"/>
          <w:highlight w:val="none"/>
        </w:rPr>
        <w:t xml:space="preserve"> </w:t>
      </w:r>
      <w:r>
        <w:rPr>
          <w:rFonts w:hint="eastAsia" w:ascii="宋体" w:hAnsi="宋体" w:eastAsia="宋体" w:cs="宋体"/>
          <w:color w:val="auto"/>
          <w:sz w:val="24"/>
          <w:szCs w:val="24"/>
          <w:highlight w:val="none"/>
        </w:rPr>
        <w:t>IP55，F</w:t>
      </w:r>
      <w:r>
        <w:rPr>
          <w:rFonts w:hint="eastAsia" w:ascii="宋体" w:hAnsi="宋体" w:eastAsia="宋体" w:cs="宋体"/>
          <w:color w:val="auto"/>
          <w:spacing w:val="-47"/>
          <w:sz w:val="24"/>
          <w:szCs w:val="24"/>
          <w:highlight w:val="none"/>
        </w:rPr>
        <w:t xml:space="preserve"> </w:t>
      </w:r>
      <w:r>
        <w:rPr>
          <w:rFonts w:hint="eastAsia" w:ascii="宋体" w:hAnsi="宋体" w:eastAsia="宋体" w:cs="宋体"/>
          <w:color w:val="auto"/>
          <w:spacing w:val="-4"/>
          <w:sz w:val="24"/>
          <w:szCs w:val="24"/>
          <w:highlight w:val="none"/>
        </w:rPr>
        <w:t>级绝缘。</w:t>
      </w:r>
      <w:r>
        <w:rPr>
          <w:rFonts w:hint="eastAsia" w:ascii="宋体" w:hAnsi="宋体" w:eastAsia="宋体" w:cs="宋体"/>
          <w:color w:val="auto"/>
          <w:sz w:val="24"/>
          <w:szCs w:val="24"/>
          <w:highlight w:val="none"/>
        </w:rPr>
        <w:t xml:space="preserve"> </w:t>
      </w:r>
    </w:p>
    <w:p w14:paraId="72745210">
      <w:pPr>
        <w:spacing w:line="360" w:lineRule="auto"/>
        <w:ind w:firstLine="117" w:firstLineChars="5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（5）风机电机安装于同一支架上</w:t>
      </w:r>
      <w:r>
        <w:rPr>
          <w:rFonts w:hint="eastAsia" w:ascii="宋体" w:hAnsi="宋体" w:eastAsia="宋体" w:cs="宋体"/>
          <w:color w:val="auto"/>
          <w:spacing w:val="-5"/>
          <w:sz w:val="24"/>
          <w:szCs w:val="24"/>
          <w:highlight w:val="none"/>
        </w:rPr>
        <w:t>，支架下面至少安装</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z w:val="24"/>
          <w:szCs w:val="24"/>
          <w:highlight w:val="none"/>
        </w:rPr>
        <w:t>4</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3"/>
          <w:sz w:val="24"/>
          <w:szCs w:val="24"/>
          <w:highlight w:val="none"/>
        </w:rPr>
        <w:t>个减振器。减振器的型式为弹簧减振器，</w:t>
      </w:r>
      <w:r>
        <w:rPr>
          <w:rFonts w:hint="eastAsia" w:ascii="宋体" w:hAnsi="宋体" w:eastAsia="宋体" w:cs="宋体"/>
          <w:color w:val="auto"/>
          <w:spacing w:val="-102"/>
          <w:sz w:val="24"/>
          <w:szCs w:val="24"/>
          <w:highlight w:val="none"/>
        </w:rPr>
        <w:t xml:space="preserve"> </w:t>
      </w:r>
      <w:r>
        <w:rPr>
          <w:rFonts w:hint="eastAsia" w:ascii="宋体" w:hAnsi="宋体" w:eastAsia="宋体" w:cs="宋体"/>
          <w:color w:val="auto"/>
          <w:sz w:val="24"/>
          <w:szCs w:val="24"/>
          <w:highlight w:val="none"/>
        </w:rPr>
        <w:t xml:space="preserve">并且不得有限制水平位移的硬接件，降低减振效果。 </w:t>
      </w:r>
    </w:p>
    <w:p w14:paraId="27092ED3">
      <w:pPr>
        <w:spacing w:line="360" w:lineRule="auto"/>
        <w:ind w:firstLine="116" w:firstLineChars="5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（6）机组配初效过滤，过滤器规格应为国内市场上标准的规格尺寸以方便用户更换；过滤器的安</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z w:val="24"/>
          <w:szCs w:val="24"/>
          <w:highlight w:val="none"/>
        </w:rPr>
        <w:t>装方式应操作简便，具有良好的密封性能。采用板式初效过滤器，过滤器材料为无纺布，滤料W</w:t>
      </w:r>
      <w:r>
        <w:rPr>
          <w:rFonts w:hint="eastAsia" w:ascii="宋体" w:hAnsi="宋体" w:eastAsia="宋体" w:cs="宋体"/>
          <w:color w:val="auto"/>
          <w:spacing w:val="-103"/>
          <w:sz w:val="24"/>
          <w:szCs w:val="24"/>
          <w:highlight w:val="none"/>
        </w:rPr>
        <w:t xml:space="preserve"> </w:t>
      </w:r>
      <w:r>
        <w:rPr>
          <w:rFonts w:hint="eastAsia" w:ascii="宋体" w:hAnsi="宋体" w:eastAsia="宋体" w:cs="宋体"/>
          <w:color w:val="auto"/>
          <w:spacing w:val="-4"/>
          <w:sz w:val="24"/>
          <w:szCs w:val="24"/>
          <w:highlight w:val="none"/>
        </w:rPr>
        <w:t>型排布，有较大的过滤面积，过滤级别G4，标称厚度不小于</w:t>
      </w:r>
      <w:r>
        <w:rPr>
          <w:rFonts w:hint="eastAsia" w:ascii="宋体" w:hAnsi="宋体" w:eastAsia="宋体" w:cs="宋体"/>
          <w:color w:val="auto"/>
          <w:spacing w:val="-3"/>
          <w:sz w:val="24"/>
          <w:szCs w:val="24"/>
          <w:highlight w:val="none"/>
        </w:rPr>
        <w:t>50mm，设计风量条件下初阻力不大于</w:t>
      </w:r>
      <w:r>
        <w:rPr>
          <w:rFonts w:hint="eastAsia" w:ascii="宋体" w:hAnsi="宋体" w:eastAsia="宋体" w:cs="宋体"/>
          <w:color w:val="auto"/>
          <w:spacing w:val="-93"/>
          <w:sz w:val="24"/>
          <w:szCs w:val="24"/>
          <w:highlight w:val="none"/>
        </w:rPr>
        <w:t xml:space="preserve"> </w:t>
      </w:r>
      <w:r>
        <w:rPr>
          <w:rFonts w:hint="eastAsia" w:ascii="宋体" w:hAnsi="宋体" w:eastAsia="宋体" w:cs="宋体"/>
          <w:color w:val="auto"/>
          <w:spacing w:val="-3"/>
          <w:sz w:val="24"/>
          <w:szCs w:val="24"/>
          <w:highlight w:val="none"/>
        </w:rPr>
        <w:t>100Pa，过滤器计数效率≥50%（2.0μm）以上。主要用于过滤</w:t>
      </w:r>
      <w:r>
        <w:rPr>
          <w:rFonts w:hint="eastAsia" w:ascii="宋体" w:hAnsi="宋体" w:eastAsia="宋体" w:cs="宋体"/>
          <w:color w:val="auto"/>
          <w:sz w:val="24"/>
          <w:szCs w:val="24"/>
          <w:highlight w:val="none"/>
        </w:rPr>
        <w:t>10～100μm</w:t>
      </w:r>
      <w:r>
        <w:rPr>
          <w:rFonts w:hint="eastAsia" w:ascii="宋体" w:hAnsi="宋体" w:eastAsia="宋体" w:cs="宋体"/>
          <w:color w:val="auto"/>
          <w:spacing w:val="-3"/>
          <w:sz w:val="24"/>
          <w:szCs w:val="24"/>
          <w:highlight w:val="none"/>
        </w:rPr>
        <w:t>的大颗粒，滤材及滤框</w:t>
      </w:r>
      <w:r>
        <w:rPr>
          <w:rFonts w:hint="eastAsia" w:ascii="宋体" w:hAnsi="宋体" w:eastAsia="宋体" w:cs="宋体"/>
          <w:color w:val="auto"/>
          <w:spacing w:val="-98"/>
          <w:sz w:val="24"/>
          <w:szCs w:val="24"/>
          <w:highlight w:val="none"/>
        </w:rPr>
        <w:t xml:space="preserve"> </w:t>
      </w:r>
      <w:r>
        <w:rPr>
          <w:rFonts w:hint="eastAsia" w:ascii="宋体" w:hAnsi="宋体" w:eastAsia="宋体" w:cs="宋体"/>
          <w:color w:val="auto"/>
          <w:sz w:val="24"/>
          <w:szCs w:val="24"/>
          <w:highlight w:val="none"/>
        </w:rPr>
        <w:t>具有防腐性。</w:t>
      </w:r>
    </w:p>
    <w:p w14:paraId="4E8971FB">
      <w:pPr>
        <w:tabs>
          <w:tab w:val="left" w:pos="2160"/>
        </w:tabs>
        <w:autoSpaceDE w:val="0"/>
        <w:autoSpaceDN w:val="0"/>
        <w:adjustRightInd w:val="0"/>
        <w:spacing w:line="360" w:lineRule="auto"/>
        <w:ind w:firstLine="116" w:firstLineChars="50"/>
        <w:outlineLvl w:val="1"/>
        <w:rPr>
          <w:rFonts w:hint="eastAsia" w:ascii="宋体" w:hAnsi="宋体" w:eastAsia="宋体" w:cs="宋体"/>
          <w:bCs/>
          <w:color w:val="auto"/>
          <w:spacing w:val="-4"/>
          <w:sz w:val="24"/>
          <w:szCs w:val="24"/>
          <w:highlight w:val="none"/>
        </w:rPr>
      </w:pPr>
      <w:bookmarkStart w:id="146" w:name="_Toc4599"/>
      <w:r>
        <w:rPr>
          <w:rFonts w:hint="eastAsia" w:ascii="宋体" w:hAnsi="宋体" w:eastAsia="宋体" w:cs="宋体"/>
          <w:b/>
          <w:bCs/>
          <w:color w:val="auto"/>
          <w:spacing w:val="-4"/>
          <w:sz w:val="24"/>
          <w:szCs w:val="24"/>
          <w:highlight w:val="none"/>
        </w:rPr>
        <w:t>3、四管制风冷螺杆冷热水机组</w:t>
      </w:r>
      <w:bookmarkEnd w:id="146"/>
    </w:p>
    <w:p w14:paraId="68125395">
      <w:pPr>
        <w:spacing w:line="360" w:lineRule="auto"/>
        <w:ind w:firstLine="120" w:firstLineChars="50"/>
        <w:jc w:val="left"/>
        <w:rPr>
          <w:rFonts w:hint="eastAsia" w:ascii="宋体" w:hAnsi="宋体" w:eastAsia="宋体" w:cs="宋体"/>
          <w:color w:val="auto"/>
          <w:sz w:val="24"/>
          <w:szCs w:val="24"/>
          <w:highlight w:val="none"/>
        </w:rPr>
      </w:pPr>
      <w:bookmarkStart w:id="147" w:name="_Toc321411262"/>
      <w:bookmarkEnd w:id="147"/>
      <w:bookmarkStart w:id="148" w:name="_Toc314049029"/>
      <w:bookmarkEnd w:id="148"/>
      <w:bookmarkStart w:id="149" w:name="_Toc11645"/>
      <w:bookmarkEnd w:id="149"/>
      <w:bookmarkStart w:id="150" w:name="_Toc7609"/>
      <w:bookmarkEnd w:id="150"/>
      <w:bookmarkStart w:id="151" w:name="_Toc12860"/>
      <w:bookmarkEnd w:id="151"/>
      <w:bookmarkStart w:id="152" w:name="_Toc1511"/>
      <w:bookmarkEnd w:id="152"/>
      <w:r>
        <w:rPr>
          <w:rFonts w:hint="eastAsia" w:ascii="宋体" w:hAnsi="宋体" w:eastAsia="宋体" w:cs="宋体"/>
          <w:b/>
          <w:color w:val="auto"/>
          <w:sz w:val="24"/>
          <w:szCs w:val="24"/>
          <w:highlight w:val="none"/>
        </w:rPr>
        <w:t>3.1、机组部件技术部分</w:t>
      </w:r>
      <w:r>
        <w:rPr>
          <w:rFonts w:hint="eastAsia" w:ascii="宋体" w:hAnsi="宋体" w:eastAsia="宋体" w:cs="宋体"/>
          <w:color w:val="auto"/>
          <w:sz w:val="24"/>
          <w:szCs w:val="24"/>
          <w:highlight w:val="none"/>
        </w:rPr>
        <w:t>：</w:t>
      </w:r>
    </w:p>
    <w:p w14:paraId="0C70C41A">
      <w:pPr>
        <w:spacing w:line="360" w:lineRule="auto"/>
        <w:ind w:firstLine="120" w:firstLineChars="5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sz w:val="24"/>
          <w:szCs w:val="24"/>
          <w:highlight w:val="none"/>
        </w:rPr>
        <w:t>性能参数：</w:t>
      </w:r>
    </w:p>
    <w:p w14:paraId="31BE3B3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1）制冷设计工况为：室外干球温度35℃，出水温度7℃；</w:t>
      </w:r>
    </w:p>
    <w:p w14:paraId="5E2E609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2）制热设计工况为：室外干球/湿球温度7℃/6℃，出水温度45℃；</w:t>
      </w:r>
    </w:p>
    <w:p w14:paraId="3900CF2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3）电源：三相380V/50Hz，机组启动方式采用星三角启动；</w:t>
      </w:r>
    </w:p>
    <w:p w14:paraId="44CC0D8E">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4）机组单制冷能效：</w:t>
      </w:r>
      <w:r>
        <w:rPr>
          <w:rFonts w:hint="eastAsia" w:ascii="宋体" w:hAnsi="宋体" w:eastAsia="宋体" w:cs="宋体"/>
          <w:b/>
          <w:color w:val="auto"/>
          <w:kern w:val="0"/>
          <w:sz w:val="24"/>
          <w:szCs w:val="24"/>
          <w:highlight w:val="none"/>
        </w:rPr>
        <w:t>COP≥3.21</w:t>
      </w:r>
      <w:r>
        <w:rPr>
          <w:rFonts w:hint="eastAsia" w:ascii="宋体" w:hAnsi="宋体" w:eastAsia="宋体" w:cs="宋体"/>
          <w:color w:val="auto"/>
          <w:kern w:val="0"/>
          <w:sz w:val="24"/>
          <w:szCs w:val="24"/>
          <w:highlight w:val="none"/>
        </w:rPr>
        <w:t>；单制热能效：COP≥3.24；冷热联供综合能效≥7.60；</w:t>
      </w:r>
    </w:p>
    <w:p w14:paraId="53FF0D28">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5）机组制冷运行环境温度范围是</w:t>
      </w:r>
      <w:r>
        <w:rPr>
          <w:rFonts w:hint="eastAsia" w:ascii="宋体" w:hAnsi="宋体" w:eastAsia="宋体" w:cs="宋体"/>
          <w:b/>
          <w:color w:val="auto"/>
          <w:kern w:val="0"/>
          <w:sz w:val="24"/>
          <w:szCs w:val="24"/>
          <w:highlight w:val="none"/>
        </w:rPr>
        <w:t>-5</w:t>
      </w:r>
      <w:r>
        <w:rPr>
          <w:rFonts w:hint="eastAsia" w:ascii="宋体" w:hAnsi="宋体" w:eastAsia="宋体" w:cs="宋体"/>
          <w:color w:val="auto"/>
          <w:kern w:val="0"/>
          <w:sz w:val="24"/>
          <w:szCs w:val="24"/>
          <w:highlight w:val="none"/>
        </w:rPr>
        <w:t>～50℃，出水温度范围是4～15℃；机组制热运行的环境温度范围是-5～43℃；出水温度范围是35～55℃；</w:t>
      </w:r>
    </w:p>
    <w:p w14:paraId="3197EDA3">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6）机组采用环保冷媒R134a；</w:t>
      </w:r>
    </w:p>
    <w:p w14:paraId="4B8AA9F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7）机组压缩机为高性能半封闭双螺杆压缩机，压缩机台数2台；</w:t>
      </w:r>
    </w:p>
    <w:p w14:paraId="357F2E2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8）冷量847.5kW，正负偏差不超过2%；热量818.9kW，正负偏差不超过2%；</w:t>
      </w:r>
    </w:p>
    <w:p w14:paraId="5353388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9）电压允许波动范围±10%，频率允许波动范围±2%；</w:t>
      </w:r>
    </w:p>
    <w:p w14:paraId="186B94F6">
      <w:pPr>
        <w:autoSpaceDE w:val="0"/>
        <w:autoSpaceDN w:val="0"/>
        <w:adjustRightIn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10）压缩机需配置隔音箱，隔音箱采用PVC软质发泡加吸音阻燃海绵，牢固美观，有效降低压缩机噪音6分贝，并采用密封板拼装设计，方便检修拆卸局部钣金，维护更简单；</w:t>
      </w:r>
    </w:p>
    <w:p w14:paraId="372F8D3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11）四管制螺杆式风冷冷热水机组需能实现以下工作模式：</w:t>
      </w:r>
    </w:p>
    <w:p w14:paraId="0A86E30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a.</w:t>
      </w:r>
      <w:r>
        <w:rPr>
          <w:rFonts w:hint="eastAsia" w:ascii="宋体" w:hAnsi="宋体" w:eastAsia="宋体" w:cs="宋体"/>
          <w:color w:val="auto"/>
          <w:kern w:val="0"/>
          <w:sz w:val="24"/>
          <w:szCs w:val="24"/>
          <w:highlight w:val="none"/>
        </w:rPr>
        <w:t>单制冷模式；</w:t>
      </w:r>
    </w:p>
    <w:p w14:paraId="1120572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b.</w:t>
      </w:r>
      <w:r>
        <w:rPr>
          <w:rFonts w:hint="eastAsia" w:ascii="宋体" w:hAnsi="宋体" w:eastAsia="宋体" w:cs="宋体"/>
          <w:color w:val="auto"/>
          <w:kern w:val="0"/>
          <w:sz w:val="24"/>
          <w:szCs w:val="24"/>
          <w:highlight w:val="none"/>
        </w:rPr>
        <w:t>单制热模式；</w:t>
      </w:r>
    </w:p>
    <w:p w14:paraId="275F7223">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c.</w:t>
      </w:r>
      <w:r>
        <w:rPr>
          <w:rFonts w:hint="eastAsia" w:ascii="宋体" w:hAnsi="宋体" w:eastAsia="宋体" w:cs="宋体"/>
          <w:color w:val="auto"/>
          <w:kern w:val="0"/>
          <w:sz w:val="24"/>
          <w:szCs w:val="24"/>
          <w:highlight w:val="none"/>
        </w:rPr>
        <w:t>制冷+制热模式：</w:t>
      </w:r>
    </w:p>
    <w:p w14:paraId="75FE3467">
      <w:pPr>
        <w:spacing w:line="360" w:lineRule="auto"/>
        <w:ind w:firstLine="120" w:firstLineChars="50"/>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rPr>
        <w:t>12）特殊自动平衡功能：机组有冷热平衡功能，全年提供冷水和热水，机组冷凝器侧提供热水，蒸发器侧提供冷水，并通过平衡换热器来平衡不同比例的冷热负荷，同时满足随时变化的冷热需求。</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rPr>
        <w:t>（2）压缩机部分：</w:t>
      </w:r>
    </w:p>
    <w:p w14:paraId="2E744B0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机组要</w:t>
      </w:r>
      <w:r>
        <w:rPr>
          <w:rFonts w:hint="eastAsia" w:ascii="宋体" w:hAnsi="宋体" w:eastAsia="宋体" w:cs="宋体"/>
          <w:color w:val="auto"/>
          <w:kern w:val="0"/>
          <w:sz w:val="24"/>
          <w:szCs w:val="24"/>
          <w:highlight w:val="none"/>
        </w:rPr>
        <w:t>求采用高性能半封闭双螺杆式压缩机；</w:t>
      </w:r>
    </w:p>
    <w:p w14:paraId="568CB3B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2）全系列</w:t>
      </w:r>
      <w:r>
        <w:rPr>
          <w:rFonts w:hint="eastAsia" w:ascii="宋体" w:hAnsi="宋体" w:eastAsia="宋体" w:cs="宋体"/>
          <w:color w:val="auto"/>
          <w:sz w:val="24"/>
          <w:szCs w:val="24"/>
          <w:highlight w:val="none"/>
        </w:rPr>
        <w:t>机组</w:t>
      </w:r>
      <w:r>
        <w:rPr>
          <w:rFonts w:hint="eastAsia" w:ascii="宋体" w:hAnsi="宋体" w:eastAsia="宋体" w:cs="宋体"/>
          <w:color w:val="auto"/>
          <w:kern w:val="0"/>
          <w:sz w:val="24"/>
          <w:szCs w:val="24"/>
          <w:highlight w:val="none"/>
        </w:rPr>
        <w:t>容量调节为连续无级调节，调节范围为：12.5%~100%；</w:t>
      </w:r>
    </w:p>
    <w:p w14:paraId="0F2F1318">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3）压缩机要求</w:t>
      </w:r>
      <w:r>
        <w:rPr>
          <w:rFonts w:hint="eastAsia" w:ascii="宋体" w:hAnsi="宋体" w:eastAsia="宋体" w:cs="宋体"/>
          <w:color w:val="auto"/>
          <w:sz w:val="24"/>
          <w:szCs w:val="24"/>
          <w:highlight w:val="none"/>
        </w:rPr>
        <w:t>应用全新优化的5：6非对称转子型线</w:t>
      </w:r>
      <w:r>
        <w:rPr>
          <w:rFonts w:hint="eastAsia" w:ascii="宋体" w:hAnsi="宋体" w:eastAsia="宋体" w:cs="宋体"/>
          <w:color w:val="auto"/>
          <w:kern w:val="0"/>
          <w:sz w:val="24"/>
          <w:szCs w:val="24"/>
          <w:highlight w:val="none"/>
        </w:rPr>
        <w:t>，采用全新的螺杆型线与喷油设计，配以滑动式ECO进气口设计，使机组具有极高的满负荷及部分负荷能效；</w:t>
      </w:r>
    </w:p>
    <w:p w14:paraId="071649C0">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4）压缩机应优先采用球墨铸铁精铸而成的双层压力补偿壳体，采用三次元精密量测仪检测，确保加工精度，且符合耐高压要求，更有降低噪音之功能；</w:t>
      </w:r>
    </w:p>
    <w:p w14:paraId="1983CD7C">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5）压缩机壳体需采用两段式铸造，即压缩侧及油分侧，耐压表现更好。同时内置降压安全阀可使高低压缩腔串通，达到泄压作用；</w:t>
      </w:r>
    </w:p>
    <w:p w14:paraId="74DD17AC">
      <w:pPr>
        <w:autoSpaceDE w:val="0"/>
        <w:autoSpaceDN w:val="0"/>
        <w:adjustRightInd w:val="0"/>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6）压缩机需采用封闭减压轴承室设计，配合长寿命轴承，轴向采用双轴承承压的减压设计，使轴承坚固耐用；</w:t>
      </w:r>
    </w:p>
    <w:p w14:paraId="354AD6FA">
      <w:pPr>
        <w:autoSpaceDE w:val="0"/>
        <w:autoSpaceDN w:val="0"/>
        <w:adjustRightInd w:val="0"/>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7）压缩机要求轴承室与高压室隔离，来有效降低轴承室的压力，保证轴承腔内润滑油黏度，确保机组运行安全；</w:t>
      </w:r>
    </w:p>
    <w:p w14:paraId="56542E2D">
      <w:pPr>
        <w:autoSpaceDE w:val="0"/>
        <w:autoSpaceDN w:val="0"/>
        <w:adjustRightInd w:val="0"/>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8）压缩机需采用双层式大面积进气滤网设计，可以完整保护压缩机，同时保证压缩机长期运行效率；</w:t>
      </w:r>
    </w:p>
    <w:p w14:paraId="4DAD6B0C">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9）压缩机油路要内置10微米等级油过滤器，并设有高精度金属过滤网，保证压缩机全寿命内无需更换，充分过滤油路杂质，确保压缩机运行安全；</w:t>
      </w:r>
    </w:p>
    <w:p w14:paraId="1614A188">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10）压缩机需配有油加热器，保证长时间停机后润滑油依然保持足够的黏度，从细节上确保压缩机运行无忧；</w:t>
      </w:r>
    </w:p>
    <w:p w14:paraId="2E717E6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11）机组的压缩机应内置油分离器，采用三段滤油机构，油分离效率要求高达99.8%以上，来提高机组运行的稳定性；</w:t>
      </w:r>
    </w:p>
    <w:p w14:paraId="673AFE46">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12）压缩机电机应采用两极三相F级绝缘感应式电机，并且需内置PTC热敏电阻搭配INT6模组保护电机，精确监控压缩机电机线圈温度；</w:t>
      </w:r>
    </w:p>
    <w:p w14:paraId="0C30F24F">
      <w:pPr>
        <w:autoSpaceDE w:val="0"/>
        <w:autoSpaceDN w:val="0"/>
        <w:adjustRightIn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13）压缩机要有内部散热流道，确保电机在压缩机运行范围内可长期运转，运行范围更广；</w:t>
      </w:r>
    </w:p>
    <w:p w14:paraId="65BD97A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14）压缩机应带有基于共振原理设计的排气减振消音器，来有效减少振动的传递、削减高频噪音、降低压缩机的排气噪音；</w:t>
      </w:r>
    </w:p>
    <w:p w14:paraId="454739E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15）压缩机电机的防护等级是IP54，绝缘等级是F级。</w:t>
      </w:r>
    </w:p>
    <w:p w14:paraId="708B4663">
      <w:pPr>
        <w:spacing w:line="360" w:lineRule="auto"/>
        <w:ind w:firstLine="120" w:firstLineChars="5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（3）风侧换热器部分：</w:t>
      </w:r>
    </w:p>
    <w:p w14:paraId="1EED714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1）机组风侧换热器应采用独特“V”型结构，符合气流分布的特点，提供最大的盘管迎风面积，具有通风性能好、换热面积大，防腐蚀性能强的特点。</w:t>
      </w:r>
    </w:p>
    <w:p w14:paraId="768AE3D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2）换热器应采用亲水铝翅片及高效内螺纹铜管，强化换热效果，提高换热效率。</w:t>
      </w:r>
    </w:p>
    <w:p w14:paraId="37B2236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3）新型文丘里分液器用于翅片冷凝器，制冷剂分流均匀，减少压损，降低噪声，有效提高换热效率。</w:t>
      </w:r>
    </w:p>
    <w:p w14:paraId="17DA825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4）四周通过加强金属框架固定，整机结构在保证更高牢固性和更高稳定性。</w:t>
      </w:r>
    </w:p>
    <w:p w14:paraId="3364F3B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5）换热器应采用进口品牌无缝内螺纹换热紫铜管，世界先进的连铸连轧技术，具备优良的延展和换热性能。</w:t>
      </w:r>
    </w:p>
    <w:p w14:paraId="7B80E4F3">
      <w:pPr>
        <w:spacing w:line="360" w:lineRule="auto"/>
        <w:ind w:firstLine="120" w:firstLineChars="5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（4）水侧换热器部分：</w:t>
      </w:r>
    </w:p>
    <w:p w14:paraId="27EAA73C">
      <w:pPr>
        <w:autoSpaceDE w:val="0"/>
        <w:autoSpaceDN w:val="0"/>
        <w:adjustRightIn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1）每台蒸发器需单独配有排气和泄水装置；</w:t>
      </w:r>
    </w:p>
    <w:p w14:paraId="0A3C23AC">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2）水侧热交换器应采用高效</w:t>
      </w:r>
      <w:r>
        <w:rPr>
          <w:rFonts w:hint="eastAsia" w:ascii="宋体" w:hAnsi="宋体" w:eastAsia="宋体" w:cs="宋体"/>
          <w:color w:val="auto"/>
          <w:sz w:val="24"/>
          <w:szCs w:val="24"/>
          <w:highlight w:val="none"/>
        </w:rPr>
        <w:t>干式壳管式交换器，内螺纹高效换热管，降低</w:t>
      </w:r>
      <w:r>
        <w:rPr>
          <w:rFonts w:hint="eastAsia" w:ascii="宋体" w:hAnsi="宋体" w:eastAsia="宋体" w:cs="宋体"/>
          <w:bCs/>
          <w:color w:val="auto"/>
          <w:sz w:val="24"/>
          <w:szCs w:val="24"/>
          <w:highlight w:val="none"/>
        </w:rPr>
        <w:t>传热温差，提升主机能效</w:t>
      </w:r>
      <w:r>
        <w:rPr>
          <w:rFonts w:hint="eastAsia" w:ascii="宋体" w:hAnsi="宋体" w:eastAsia="宋体" w:cs="宋体"/>
          <w:color w:val="auto"/>
          <w:sz w:val="24"/>
          <w:szCs w:val="24"/>
          <w:highlight w:val="none"/>
        </w:rPr>
        <w:t>。</w:t>
      </w:r>
    </w:p>
    <w:p w14:paraId="400A69C2">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3）换热器的接管方式需为沟槽卡箍连接（带短管），方便现场安装。</w:t>
      </w:r>
    </w:p>
    <w:p w14:paraId="37671EC5">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机组应采用两个水侧换热器需为左右单独放置设计，两个换热器的接管位置不能互相影响，便于接管安装及各个换热器单独的检修维护。</w:t>
      </w:r>
    </w:p>
    <w:p w14:paraId="527C16E1">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color w:val="auto"/>
          <w:sz w:val="24"/>
          <w:szCs w:val="24"/>
          <w:highlight w:val="none"/>
        </w:rPr>
        <w:t>机组承压：依据机组提供的设备表为1.0Mpa（可以非标1.6MPa）。</w:t>
      </w:r>
    </w:p>
    <w:p w14:paraId="68567157">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（5）膨胀阀部分：</w:t>
      </w:r>
    </w:p>
    <w:p w14:paraId="35C426D2">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1）机组需采用电子膨胀阀控制，应用0~3810步电子膨胀阀控制技术，可在10%~100%的范围内进行精确调节，确保机组高性能运转、稳定精确</w:t>
      </w:r>
      <w:r>
        <w:rPr>
          <w:rFonts w:hint="eastAsia" w:ascii="宋体" w:hAnsi="宋体" w:eastAsia="宋体" w:cs="宋体"/>
          <w:color w:val="auto"/>
          <w:sz w:val="24"/>
          <w:szCs w:val="24"/>
          <w:highlight w:val="none"/>
        </w:rPr>
        <w:t>。</w:t>
      </w:r>
    </w:p>
    <w:p w14:paraId="39868BE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电子膨胀阀应</w:t>
      </w:r>
      <w:r>
        <w:rPr>
          <w:rFonts w:hint="eastAsia" w:ascii="宋体" w:hAnsi="宋体" w:eastAsia="宋体" w:cs="宋体"/>
          <w:bCs/>
          <w:color w:val="auto"/>
          <w:sz w:val="24"/>
          <w:szCs w:val="24"/>
          <w:highlight w:val="none"/>
        </w:rPr>
        <w:t>采用双电源设计，</w:t>
      </w:r>
      <w:r>
        <w:rPr>
          <w:rFonts w:hint="eastAsia" w:ascii="宋体" w:hAnsi="宋体" w:eastAsia="宋体" w:cs="宋体"/>
          <w:color w:val="auto"/>
          <w:sz w:val="24"/>
          <w:szCs w:val="24"/>
          <w:highlight w:val="none"/>
        </w:rPr>
        <w:t>具有独立备用电源，</w:t>
      </w:r>
      <w:r>
        <w:rPr>
          <w:rFonts w:hint="eastAsia" w:ascii="宋体" w:hAnsi="宋体" w:eastAsia="宋体" w:cs="宋体"/>
          <w:bCs/>
          <w:color w:val="auto"/>
          <w:sz w:val="24"/>
          <w:szCs w:val="24"/>
          <w:highlight w:val="none"/>
        </w:rPr>
        <w:t>具备断电延时保护功能</w:t>
      </w:r>
      <w:r>
        <w:rPr>
          <w:rFonts w:hint="eastAsia" w:ascii="宋体" w:hAnsi="宋体" w:eastAsia="宋体" w:cs="宋体"/>
          <w:color w:val="auto"/>
          <w:kern w:val="0"/>
          <w:sz w:val="24"/>
          <w:szCs w:val="24"/>
          <w:highlight w:val="none"/>
        </w:rPr>
        <w:t>，在突然断电时能够保证电子膨胀阀正常关闭，机组重启时能保护压缩机</w:t>
      </w:r>
      <w:r>
        <w:rPr>
          <w:rFonts w:hint="eastAsia" w:ascii="宋体" w:hAnsi="宋体" w:eastAsia="宋体" w:cs="宋体"/>
          <w:color w:val="auto"/>
          <w:sz w:val="24"/>
          <w:szCs w:val="24"/>
          <w:highlight w:val="none"/>
        </w:rPr>
        <w:t>。</w:t>
      </w:r>
    </w:p>
    <w:p w14:paraId="22A8D41D">
      <w:pPr>
        <w:spacing w:line="360" w:lineRule="auto"/>
        <w:ind w:firstLine="120" w:firstLineChars="5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sz w:val="24"/>
          <w:szCs w:val="24"/>
          <w:highlight w:val="none"/>
        </w:rPr>
        <w:t>（6）风机部分</w:t>
      </w:r>
    </w:p>
    <w:p w14:paraId="07B3738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1）机组应采用机翼型螺旋式轴流风机，形状如鸟翼，配合</w:t>
      </w:r>
      <w:r>
        <w:rPr>
          <w:rFonts w:hint="eastAsia" w:ascii="宋体" w:hAnsi="宋体" w:eastAsia="宋体" w:cs="宋体"/>
          <w:color w:val="auto"/>
          <w:sz w:val="24"/>
          <w:szCs w:val="24"/>
          <w:highlight w:val="none"/>
        </w:rPr>
        <w:t>优化的弯曲叶轮前端设计，来提高转速效率，降低噪声，</w:t>
      </w:r>
      <w:r>
        <w:rPr>
          <w:rFonts w:hint="eastAsia" w:ascii="宋体" w:hAnsi="宋体" w:eastAsia="宋体" w:cs="宋体"/>
          <w:color w:val="auto"/>
          <w:kern w:val="0"/>
          <w:sz w:val="24"/>
          <w:szCs w:val="24"/>
          <w:highlight w:val="none"/>
        </w:rPr>
        <w:t xml:space="preserve">电机零空转且直接驱动，具有热保护功能。 </w:t>
      </w:r>
    </w:p>
    <w:p w14:paraId="3DBFCCE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风扇电机：采用户外型全铝制高效专用电机，需防水、防锈、耐气候设计，F级绝缘以上（含F级），符合IP55及防水保护标准。</w:t>
      </w:r>
    </w:p>
    <w:p w14:paraId="7A8DACFB">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（7）机组部分</w:t>
      </w:r>
    </w:p>
    <w:p w14:paraId="1CE022F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机组外壳需采用热镀锌无铬不钝化钢板，并采用静电桔纹喷涂防腐涂料，采用耐腐蚀性螺钉，防腐耐用。</w:t>
      </w:r>
    </w:p>
    <w:p w14:paraId="2570DA50">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主要管路上应添加橡胶紧固件对铜管进行固定，来有效降低铜管的震动及噪音，提升管路强度，确保机组安全运行。</w:t>
      </w:r>
    </w:p>
    <w:p w14:paraId="7486B5AA">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机组外壳保温不能产生冷凝结露，对所有可能产生冷凝结露的部位均需做保温处理。</w:t>
      </w:r>
    </w:p>
    <w:p w14:paraId="0F22FF72">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电控柜采用强弱电完全分离式设计，带西门子互锁主开关，整个强电柜都应采用大面积绝缘玻璃挡板，保证工作人员安全。</w:t>
      </w:r>
    </w:p>
    <w:p w14:paraId="36A8CA8F">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5）电控柜</w:t>
      </w:r>
      <w:r>
        <w:rPr>
          <w:rFonts w:hint="eastAsia" w:ascii="宋体" w:hAnsi="宋体" w:eastAsia="宋体" w:cs="宋体"/>
          <w:color w:val="auto"/>
          <w:sz w:val="24"/>
          <w:szCs w:val="24"/>
          <w:highlight w:val="none"/>
        </w:rPr>
        <w:t>防护等级是IP54，绝缘等级是F级。</w:t>
      </w:r>
    </w:p>
    <w:p w14:paraId="7A596D5E">
      <w:pPr>
        <w:snapToGrid w:val="0"/>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6）机组应设急停开关、系统开关、散热风扇，遇到紧急情况易保护机组，易对运行机组进行散热。</w:t>
      </w:r>
    </w:p>
    <w:p w14:paraId="06A6ECE5">
      <w:pPr>
        <w:snapToGrid w:val="0"/>
        <w:spacing w:line="360" w:lineRule="auto"/>
        <w:ind w:firstLine="120" w:firstLineChars="50"/>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7）风冷螺杆机组应配组合式弹簧减震器、不锈钢铭牌、压缩机隔音箱、水系统大型筒式水过滤器及水流开关</w:t>
      </w:r>
      <w:r>
        <w:rPr>
          <w:rFonts w:hint="eastAsia" w:ascii="宋体" w:hAnsi="宋体" w:eastAsia="宋体" w:cs="宋体"/>
          <w:color w:val="auto"/>
          <w:kern w:val="0"/>
          <w:sz w:val="24"/>
          <w:szCs w:val="24"/>
          <w:highlight w:val="none"/>
          <w:lang w:eastAsia="zh-CN"/>
        </w:rPr>
        <w:t>作为</w:t>
      </w:r>
      <w:r>
        <w:rPr>
          <w:rFonts w:hint="eastAsia" w:ascii="宋体" w:hAnsi="宋体" w:eastAsia="宋体" w:cs="宋体"/>
          <w:color w:val="auto"/>
          <w:kern w:val="0"/>
          <w:sz w:val="24"/>
          <w:szCs w:val="24"/>
          <w:highlight w:val="none"/>
        </w:rPr>
        <w:t>附增，且采用出水温度控制方式。</w:t>
      </w:r>
    </w:p>
    <w:p w14:paraId="0E59D2EE">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3.2、机组系统技术部分</w:t>
      </w:r>
      <w:r>
        <w:rPr>
          <w:rFonts w:hint="eastAsia" w:ascii="宋体" w:hAnsi="宋体" w:eastAsia="宋体" w:cs="宋体"/>
          <w:color w:val="auto"/>
          <w:sz w:val="24"/>
          <w:szCs w:val="24"/>
          <w:highlight w:val="none"/>
        </w:rPr>
        <w:t>：</w:t>
      </w:r>
    </w:p>
    <w:p w14:paraId="01082792">
      <w:pPr>
        <w:spacing w:line="360" w:lineRule="auto"/>
        <w:ind w:firstLine="120" w:firstLineChars="5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3.2.1、</w:t>
      </w:r>
      <w:r>
        <w:rPr>
          <w:rFonts w:hint="eastAsia" w:ascii="宋体" w:hAnsi="宋体" w:eastAsia="宋体" w:cs="宋体"/>
          <w:b/>
          <w:bCs/>
          <w:color w:val="auto"/>
          <w:sz w:val="24"/>
          <w:szCs w:val="24"/>
          <w:highlight w:val="none"/>
        </w:rPr>
        <w:t>过冷技术：</w:t>
      </w:r>
    </w:p>
    <w:p w14:paraId="12D7D428">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（1）在高效经济器内进行过冷，并采用独立电子膨胀阀精确节流控制，通过检测进出液态冷媒压差，实现对过冷度的最佳控制，进一步提高机组过冷度。</w:t>
      </w:r>
    </w:p>
    <w:p w14:paraId="3FA5637C">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（2）机组的两个系统分别都带经济器，不能两个系统共用一个经济器，要保证系统更节能。补气压缩系统主路及辅路均要使用电子膨胀阀，使控制与调节更加精确稳定，调节范围更广。</w:t>
      </w:r>
    </w:p>
    <w:p w14:paraId="6713C661">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四管制机组应具有AI智能化运行模式，即单制冷、单制热和平衡模式，冷热两侧根据需求实时匹配负荷，确保实时满足机组的实际能力需求的同时提供冷热水，平衡换热器担当平衡两侧负荷的作用，需将多余的冷量/热量散发到空气中。</w:t>
      </w:r>
    </w:p>
    <w:p w14:paraId="08E6A026">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3.2.2、</w:t>
      </w:r>
      <w:r>
        <w:rPr>
          <w:rFonts w:hint="eastAsia" w:ascii="宋体" w:hAnsi="宋体" w:eastAsia="宋体" w:cs="宋体"/>
          <w:b/>
          <w:bCs/>
          <w:color w:val="auto"/>
          <w:kern w:val="0"/>
          <w:sz w:val="24"/>
          <w:szCs w:val="24"/>
          <w:highlight w:val="none"/>
        </w:rPr>
        <w:t>双水温控制技术：</w:t>
      </w:r>
    </w:p>
    <w:p w14:paraId="108DF418">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冷冻水出水温度控制精确至</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0.5°C，另外系统包含各种感应器可将各信号数据准确传递到控制器，以便控制器及时保护机组部件，使得机组运行更加可靠。</w:t>
      </w:r>
    </w:p>
    <w:p w14:paraId="2540DD6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机组标准采用出水温度控制，保证出水温度的恒定性，使末端温度调节更加精确，用户体验最佳；也可选配采用回水温度控制，在保证末端用户的动态平衡下使机组的效率最优。</w:t>
      </w:r>
    </w:p>
    <w:p w14:paraId="488D9978">
      <w:pPr>
        <w:spacing w:line="360" w:lineRule="auto"/>
        <w:ind w:firstLine="120" w:firstLineChars="50"/>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3.2.3、智能除霜</w:t>
      </w:r>
    </w:p>
    <w:p w14:paraId="65AF0A7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机组应</w:t>
      </w:r>
      <w:r>
        <w:rPr>
          <w:rFonts w:hint="eastAsia" w:ascii="宋体" w:hAnsi="宋体" w:eastAsia="宋体" w:cs="宋体"/>
          <w:color w:val="auto"/>
          <w:sz w:val="24"/>
          <w:szCs w:val="24"/>
          <w:highlight w:val="none"/>
        </w:rPr>
        <w:t>通过采集外界气温数据、冷媒蒸发压力、排气压力变化、除霜时间、周期等多个变量，来判</w:t>
      </w:r>
      <w:r>
        <w:rPr>
          <w:rFonts w:hint="eastAsia" w:ascii="宋体" w:hAnsi="宋体" w:eastAsia="宋体" w:cs="宋体"/>
          <w:color w:val="auto"/>
          <w:sz w:val="24"/>
          <w:szCs w:val="24"/>
          <w:highlight w:val="none"/>
          <w:lang w:eastAsia="zh-CN"/>
        </w:rPr>
        <w:t>断是</w:t>
      </w:r>
      <w:r>
        <w:rPr>
          <w:rFonts w:hint="eastAsia" w:ascii="宋体" w:hAnsi="宋体" w:eastAsia="宋体" w:cs="宋体"/>
          <w:color w:val="auto"/>
          <w:sz w:val="24"/>
          <w:szCs w:val="24"/>
          <w:highlight w:val="none"/>
        </w:rPr>
        <w:t>否结霜以及结霜的程度，自适应除霜的自动除霜：</w:t>
      </w:r>
    </w:p>
    <w:p w14:paraId="7F4E603B">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it-IT"/>
        </w:rPr>
        <w:t>风机除霜模式</w:t>
      </w:r>
    </w:p>
    <w:p w14:paraId="02A2D21C">
      <w:pPr>
        <w:spacing w:line="360" w:lineRule="auto"/>
        <w:ind w:firstLine="120" w:firstLineChars="50"/>
        <w:jc w:val="left"/>
        <w:rPr>
          <w:rFonts w:hint="eastAsia" w:ascii="宋体" w:hAnsi="宋体" w:eastAsia="宋体" w:cs="宋体"/>
          <w:color w:val="auto"/>
          <w:sz w:val="24"/>
          <w:szCs w:val="24"/>
          <w:highlight w:val="none"/>
          <w:lang w:val="it-IT"/>
        </w:rPr>
      </w:pPr>
      <w:r>
        <w:rPr>
          <w:rFonts w:hint="eastAsia" w:ascii="宋体" w:hAnsi="宋体" w:eastAsia="宋体" w:cs="宋体"/>
          <w:color w:val="auto"/>
          <w:sz w:val="24"/>
          <w:szCs w:val="24"/>
          <w:highlight w:val="none"/>
          <w:lang w:val="it-IT"/>
        </w:rPr>
        <w:t>（2）压缩机不停机换向除霜模式</w:t>
      </w:r>
    </w:p>
    <w:p w14:paraId="248625BD">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（3）四管制螺杆式风冷冷热水机组水侧换热器冬季有特殊的防冻功能，不用开启水泵循环或放水来防冻。</w:t>
      </w:r>
    </w:p>
    <w:p w14:paraId="146E5C5E">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3.2.4、</w:t>
      </w:r>
      <w:r>
        <w:rPr>
          <w:rFonts w:hint="eastAsia" w:ascii="宋体" w:hAnsi="宋体" w:eastAsia="宋体" w:cs="宋体"/>
          <w:b/>
          <w:bCs/>
          <w:color w:val="auto"/>
          <w:sz w:val="24"/>
          <w:szCs w:val="24"/>
          <w:highlight w:val="none"/>
        </w:rPr>
        <w:t>系统安全保护技术</w:t>
      </w:r>
    </w:p>
    <w:p w14:paraId="1C0744D7">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（1）水侧换热器应安装防冻电加热器及防冻温度感应器，感测换热器内部水温，在机组长时间停机时，可保证水侧换热器不被冻坏。</w:t>
      </w:r>
    </w:p>
    <w:p w14:paraId="1A22233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（2）机组应采用冷媒隔离阀，维修时无需回收冷媒，将冷媒泵至风侧换热器，即可对压缩机、水侧换热器及系统管路进行检修，十分方便。</w:t>
      </w:r>
    </w:p>
    <w:p w14:paraId="6330FFF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（3）多重系统压力保护：</w:t>
      </w:r>
    </w:p>
    <w:p w14:paraId="6402DCA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1）通过压缩机加减载控制系统压力；</w:t>
      </w:r>
    </w:p>
    <w:p w14:paraId="57EA46A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2）通过电子膨胀阀控制及喷液冷却降低系统压力；</w:t>
      </w:r>
    </w:p>
    <w:p w14:paraId="0C4AB0E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3）设置高低压开关，监测压力过高时，使机组报警停机；</w:t>
      </w:r>
    </w:p>
    <w:p w14:paraId="42411E96">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4）在极端高压时通过安全阀（自动泄压阀）进行保护，将压力降低。</w:t>
      </w:r>
    </w:p>
    <w:p w14:paraId="43A5FE7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（4）压缩机采用吸气喷液方式冷却电机，防止温度过高，同时中间段喷液冷却螺杆，实现压缩机排温保护与排气过热度保护。</w:t>
      </w:r>
    </w:p>
    <w:p w14:paraId="5C638043">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（5）机组应配置干燥过滤器，用于吸附和过滤制冷管路中的水分和杂质，防止冰堵或脏堵，减小管路的腐蚀。</w:t>
      </w:r>
    </w:p>
    <w:p w14:paraId="2CFCDD1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（6）三级密码保护，防止非专业人员误操作，确保机组安全运行。</w:t>
      </w:r>
    </w:p>
    <w:p w14:paraId="75A00EA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（7）压缩机逐台启动，启动电流小，减小对电网的冲击。</w:t>
      </w:r>
    </w:p>
    <w:p w14:paraId="3E38586A">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3.3、智能部分</w:t>
      </w:r>
      <w:r>
        <w:rPr>
          <w:rFonts w:hint="eastAsia" w:ascii="宋体" w:hAnsi="宋体" w:eastAsia="宋体" w:cs="宋体"/>
          <w:color w:val="auto"/>
          <w:sz w:val="24"/>
          <w:szCs w:val="24"/>
          <w:highlight w:val="none"/>
        </w:rPr>
        <w:t>：</w:t>
      </w:r>
    </w:p>
    <w:p w14:paraId="7C1648B6">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3.3.1、机组应</w:t>
      </w:r>
      <w:r>
        <w:rPr>
          <w:rFonts w:hint="eastAsia" w:ascii="宋体" w:hAnsi="宋体" w:eastAsia="宋体" w:cs="宋体"/>
          <w:color w:val="auto"/>
          <w:sz w:val="24"/>
          <w:szCs w:val="24"/>
          <w:highlight w:val="none"/>
        </w:rPr>
        <w:t>配置“云平台”监控系统服务，使机组维护更加省心。</w:t>
      </w:r>
    </w:p>
    <w:p w14:paraId="6C383E1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（1）分角色功能权限 </w:t>
      </w:r>
      <w:r>
        <w:rPr>
          <w:rFonts w:hint="eastAsia" w:ascii="宋体" w:hAnsi="宋体" w:eastAsia="宋体" w:cs="宋体"/>
          <w:color w:val="auto"/>
          <w:sz w:val="24"/>
          <w:szCs w:val="24"/>
          <w:highlight w:val="none"/>
        </w:rPr>
        <w:t>基于角色的功能权限控制，可根据客户、区域服务商、总部服务中心的用户特点进行角色分类，分配功能权限。</w:t>
      </w:r>
    </w:p>
    <w:p w14:paraId="1BBD64E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（2）设备数据域管理 </w:t>
      </w:r>
      <w:r>
        <w:rPr>
          <w:rFonts w:hint="eastAsia" w:ascii="宋体" w:hAnsi="宋体" w:eastAsia="宋体" w:cs="宋体"/>
          <w:color w:val="auto"/>
          <w:sz w:val="24"/>
          <w:szCs w:val="24"/>
          <w:highlight w:val="none"/>
        </w:rPr>
        <w:t>帮助平台用户设置生产设备及相关运行数据的管理权限。</w:t>
      </w:r>
    </w:p>
    <w:p w14:paraId="1C41728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（3）设备参数控制权限 </w:t>
      </w:r>
      <w:r>
        <w:rPr>
          <w:rFonts w:hint="eastAsia" w:ascii="宋体" w:hAnsi="宋体" w:eastAsia="宋体" w:cs="宋体"/>
          <w:color w:val="auto"/>
          <w:sz w:val="24"/>
          <w:szCs w:val="24"/>
          <w:highlight w:val="none"/>
        </w:rPr>
        <w:t xml:space="preserve">根据账号级别对设备参数的操作权限进行控制管理，防止出现设备误操作； </w:t>
      </w:r>
    </w:p>
    <w:p w14:paraId="03BB697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（4）自助场景设计 </w:t>
      </w:r>
      <w:r>
        <w:rPr>
          <w:rFonts w:hint="eastAsia" w:ascii="宋体" w:hAnsi="宋体" w:eastAsia="宋体" w:cs="宋体"/>
          <w:color w:val="auto"/>
          <w:sz w:val="24"/>
          <w:szCs w:val="24"/>
          <w:highlight w:val="none"/>
        </w:rPr>
        <w:t xml:space="preserve">组态设计器支持背景图片和组件图片导入，方便为客户自定义场景展示界面。 </w:t>
      </w:r>
    </w:p>
    <w:p w14:paraId="0D5B47C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（5）灵活设备信息定义 </w:t>
      </w:r>
      <w:r>
        <w:rPr>
          <w:rFonts w:hint="eastAsia" w:ascii="宋体" w:hAnsi="宋体" w:eastAsia="宋体" w:cs="宋体"/>
          <w:color w:val="auto"/>
          <w:sz w:val="24"/>
          <w:szCs w:val="24"/>
          <w:highlight w:val="none"/>
        </w:rPr>
        <w:t xml:space="preserve">可以根据设备使用场景自由添加设备的静态属性，动态监测指标，阀值告警、控制指令等信息。 </w:t>
      </w:r>
    </w:p>
    <w:p w14:paraId="2EF4B96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（6）设备数据实时监测 </w:t>
      </w:r>
      <w:r>
        <w:rPr>
          <w:rFonts w:hint="eastAsia" w:ascii="宋体" w:hAnsi="宋体" w:eastAsia="宋体" w:cs="宋体"/>
          <w:color w:val="auto"/>
          <w:sz w:val="24"/>
          <w:szCs w:val="24"/>
          <w:highlight w:val="none"/>
        </w:rPr>
        <w:t xml:space="preserve">支持自由查看某时间周期内的设备各项检测指标的实时数据及历史趋势曲线。 </w:t>
      </w:r>
    </w:p>
    <w:p w14:paraId="5F2C871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（7）故障告警即时通知 </w:t>
      </w:r>
      <w:r>
        <w:rPr>
          <w:rFonts w:hint="eastAsia" w:ascii="宋体" w:hAnsi="宋体" w:eastAsia="宋体" w:cs="宋体"/>
          <w:color w:val="auto"/>
          <w:sz w:val="24"/>
          <w:szCs w:val="24"/>
          <w:highlight w:val="none"/>
        </w:rPr>
        <w:t xml:space="preserve">支持多级别设备告警信息的即时通知，用户可自定义告警分类进行告警监控。 </w:t>
      </w:r>
    </w:p>
    <w:p w14:paraId="130B640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（8）多渠道消息提醒 </w:t>
      </w:r>
      <w:r>
        <w:rPr>
          <w:rFonts w:hint="eastAsia" w:ascii="宋体" w:hAnsi="宋体" w:eastAsia="宋体" w:cs="宋体"/>
          <w:color w:val="auto"/>
          <w:sz w:val="24"/>
          <w:szCs w:val="24"/>
          <w:highlight w:val="none"/>
        </w:rPr>
        <w:t xml:space="preserve">具备多种消息通知渠道（站内消息、短信、邮件等），以最便捷的方式通知到平台用户。 </w:t>
      </w:r>
    </w:p>
    <w:p w14:paraId="0FD9B91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（9）多维度设备信息管理 </w:t>
      </w:r>
      <w:r>
        <w:rPr>
          <w:rFonts w:hint="eastAsia" w:ascii="宋体" w:hAnsi="宋体" w:eastAsia="宋体" w:cs="宋体"/>
          <w:color w:val="auto"/>
          <w:sz w:val="24"/>
          <w:szCs w:val="24"/>
          <w:highlight w:val="none"/>
        </w:rPr>
        <w:t>以客户和项目为中心，进行设备基础数据的初始化，设备静态数据维护、动态数据监测、设备文档维护等管理功能。</w:t>
      </w:r>
      <w:r>
        <w:rPr>
          <w:rFonts w:hint="eastAsia" w:ascii="宋体" w:hAnsi="宋体" w:eastAsia="宋体" w:cs="宋体"/>
          <w:b/>
          <w:bCs/>
          <w:color w:val="auto"/>
          <w:sz w:val="24"/>
          <w:szCs w:val="24"/>
          <w:highlight w:val="none"/>
        </w:rPr>
        <w:t xml:space="preserve"> </w:t>
      </w:r>
    </w:p>
    <w:p w14:paraId="551C669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（10）项目视角的设备维护 </w:t>
      </w:r>
      <w:r>
        <w:rPr>
          <w:rFonts w:hint="eastAsia" w:ascii="宋体" w:hAnsi="宋体" w:eastAsia="宋体" w:cs="宋体"/>
          <w:color w:val="auto"/>
          <w:sz w:val="24"/>
          <w:szCs w:val="24"/>
          <w:highlight w:val="none"/>
        </w:rPr>
        <w:t xml:space="preserve">能够通过客户项目方便的管理设备信息，以客户项目视角进行设备的信息添加、管理和工单维护等工作。 </w:t>
      </w:r>
    </w:p>
    <w:p w14:paraId="2CEAE33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（11）便捷的设备信息检索 </w:t>
      </w:r>
      <w:r>
        <w:rPr>
          <w:rFonts w:hint="eastAsia" w:ascii="宋体" w:hAnsi="宋体" w:eastAsia="宋体" w:cs="宋体"/>
          <w:color w:val="auto"/>
          <w:sz w:val="24"/>
          <w:szCs w:val="24"/>
          <w:highlight w:val="none"/>
        </w:rPr>
        <w:t xml:space="preserve">提供便捷的设备信息检索功能，方便使用者通过设备分类、设备编号、项目名称、设备标签等条件快速搜索设备信息。 </w:t>
      </w:r>
    </w:p>
    <w:p w14:paraId="4677815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（12）维保记录管理 </w:t>
      </w:r>
      <w:r>
        <w:rPr>
          <w:rFonts w:hint="eastAsia" w:ascii="宋体" w:hAnsi="宋体" w:eastAsia="宋体" w:cs="宋体"/>
          <w:color w:val="auto"/>
          <w:sz w:val="24"/>
          <w:szCs w:val="24"/>
          <w:highlight w:val="none"/>
        </w:rPr>
        <w:t xml:space="preserve">自定义维保计划周期，可按维保类型、时间频度（周期性维保、临时性维保）等多种维度设定计划，全方面提供维护保养服务。对设备进行维保情况进行记录，形成设备维修档案，便于针对设备维修维护的历史情况做出针对性维保计划或维修方案。 </w:t>
      </w:r>
    </w:p>
    <w:p w14:paraId="221549A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（13）响应式布局设计 </w:t>
      </w:r>
      <w:r>
        <w:rPr>
          <w:rFonts w:hint="eastAsia" w:ascii="宋体" w:hAnsi="宋体" w:eastAsia="宋体" w:cs="宋体"/>
          <w:color w:val="auto"/>
          <w:sz w:val="24"/>
          <w:szCs w:val="24"/>
          <w:highlight w:val="none"/>
        </w:rPr>
        <w:t xml:space="preserve">平台设计采用响应式布局方式，支持各分辨率条件下的页面自适应显示，能够很好的支持移动端展示效果。 </w:t>
      </w:r>
    </w:p>
    <w:p w14:paraId="0860CE7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（14）移动端信息展示 </w:t>
      </w:r>
      <w:r>
        <w:rPr>
          <w:rFonts w:hint="eastAsia" w:ascii="宋体" w:hAnsi="宋体" w:eastAsia="宋体" w:cs="宋体"/>
          <w:color w:val="auto"/>
          <w:sz w:val="24"/>
          <w:szCs w:val="24"/>
          <w:highlight w:val="none"/>
        </w:rPr>
        <w:t>根据客户移动端应用的信息展示需求，进行关键指标信息的梳理，以移动端设计优先为原则，进行整体的页面信息展示</w:t>
      </w:r>
    </w:p>
    <w:p w14:paraId="50B4B9EA">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3.4、控制部分</w:t>
      </w:r>
      <w:r>
        <w:rPr>
          <w:rFonts w:hint="eastAsia" w:ascii="宋体" w:hAnsi="宋体" w:eastAsia="宋体" w:cs="宋体"/>
          <w:color w:val="auto"/>
          <w:sz w:val="24"/>
          <w:szCs w:val="24"/>
          <w:highlight w:val="none"/>
        </w:rPr>
        <w:t>：</w:t>
      </w:r>
    </w:p>
    <w:p w14:paraId="7E460DE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3.4.1机组应有微电脑控制器，具有“黑匣子”功能，可实时监控并存储机组的运行参数，连续记录不少于2个月机组运行状态的所有数据，对于机组可能发生异常运行，能够迅速准确的查出原因，便于分析解决。</w:t>
      </w:r>
    </w:p>
    <w:p w14:paraId="0CE660F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3.4.2产品应具有以下控制功能：</w:t>
      </w:r>
    </w:p>
    <w:p w14:paraId="321C687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（1）机组负荷无级调节控制功能</w:t>
      </w:r>
    </w:p>
    <w:p w14:paraId="1238048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（2）开机自检功能</w:t>
      </w:r>
    </w:p>
    <w:p w14:paraId="750164B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（3）一周定时开关机功能</w:t>
      </w:r>
      <w:r>
        <w:rPr>
          <w:rFonts w:hint="eastAsia" w:ascii="宋体" w:hAnsi="宋体" w:eastAsia="宋体" w:cs="宋体"/>
          <w:color w:val="auto"/>
          <w:kern w:val="0"/>
          <w:sz w:val="24"/>
          <w:szCs w:val="24"/>
          <w:highlight w:val="none"/>
        </w:rPr>
        <w:t xml:space="preserve"> </w:t>
      </w:r>
    </w:p>
    <w:p w14:paraId="1D8AAC9C">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（4）均衡各压缩机运行时间</w:t>
      </w:r>
    </w:p>
    <w:p w14:paraId="02AE040D">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（5）掉电记忆功能</w:t>
      </w:r>
    </w:p>
    <w:p w14:paraId="4C5B397F">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（6）输出负荷PID控制</w:t>
      </w:r>
    </w:p>
    <w:p w14:paraId="4125050D">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（7）压缩机延时启动控制</w:t>
      </w:r>
    </w:p>
    <w:p w14:paraId="335AA0FE">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（8）热泵机组自动智能除霜</w:t>
      </w:r>
    </w:p>
    <w:p w14:paraId="69BAA8C3">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（9）压缩机能量调节控制</w:t>
      </w:r>
    </w:p>
    <w:p w14:paraId="3A23285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（10）水泵启/停</w:t>
      </w:r>
    </w:p>
    <w:p w14:paraId="08234505">
      <w:pPr>
        <w:autoSpaceDE w:val="0"/>
        <w:autoSpaceDN w:val="0"/>
        <w:adjustRightIn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（11）机组模式设置</w:t>
      </w:r>
    </w:p>
    <w:p w14:paraId="68F7E70A">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r>
        <w:rPr>
          <w:rFonts w:hint="eastAsia" w:ascii="宋体" w:hAnsi="宋体" w:eastAsia="宋体" w:cs="宋体"/>
          <w:color w:val="auto"/>
          <w:sz w:val="24"/>
          <w:szCs w:val="24"/>
          <w:highlight w:val="none"/>
        </w:rPr>
        <w:t>远程</w:t>
      </w:r>
      <w:r>
        <w:rPr>
          <w:rFonts w:hint="eastAsia" w:ascii="宋体" w:hAnsi="宋体" w:eastAsia="宋体" w:cs="宋体"/>
          <w:color w:val="auto"/>
          <w:kern w:val="0"/>
          <w:sz w:val="24"/>
          <w:szCs w:val="24"/>
          <w:highlight w:val="none"/>
        </w:rPr>
        <w:t>开关机接口</w:t>
      </w:r>
    </w:p>
    <w:p w14:paraId="7C9E3A4E">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（13）设置制冷/制热出水温度</w:t>
      </w:r>
    </w:p>
    <w:p w14:paraId="1B05E777">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（14）双设定点设置</w:t>
      </w:r>
    </w:p>
    <w:p w14:paraId="6EBB4053">
      <w:pPr>
        <w:autoSpaceDE w:val="0"/>
        <w:autoSpaceDN w:val="0"/>
        <w:adjustRightIn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（15）语言设置：中/英</w:t>
      </w:r>
    </w:p>
    <w:p w14:paraId="4AFFB6F3">
      <w:pPr>
        <w:tabs>
          <w:tab w:val="left" w:pos="3152"/>
        </w:tabs>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（16）单位设置</w:t>
      </w:r>
    </w:p>
    <w:p w14:paraId="789D7747">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（17）通讯协议设置</w:t>
      </w:r>
    </w:p>
    <w:p w14:paraId="0CF08D11">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（18）波特率设置</w:t>
      </w:r>
    </w:p>
    <w:p w14:paraId="710D8736">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（19）监控地址</w:t>
      </w:r>
    </w:p>
    <w:p w14:paraId="37F55007">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（20）日期设置</w:t>
      </w:r>
    </w:p>
    <w:p w14:paraId="073A0A4D">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（21）用户密码修改</w:t>
      </w:r>
    </w:p>
    <w:p w14:paraId="0C8A9764">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（22）复位蒸发器流量报警</w:t>
      </w:r>
    </w:p>
    <w:p w14:paraId="12321ADB">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（23）复位防冻报警</w:t>
      </w:r>
    </w:p>
    <w:p w14:paraId="4B0358DC">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3.4.3机组应使用不小于10寸液晶触摸屏显示数字控制中心，为机组提供监控、数据记录、安全保护和便利的操作，并有中、英文两种文字菜单选择。液晶显示屏应显示包括冷水机组、子系统和系统参数的情况，并且同一画面可同时显示多个运行参数。此外，操作员需可以通过界为操作者提供安全访问密码，以防在未经许可的情况下改变设定值，还</w:t>
      </w:r>
      <w:r>
        <w:rPr>
          <w:rFonts w:hint="eastAsia" w:ascii="宋体" w:hAnsi="宋体" w:eastAsia="宋体" w:cs="宋体"/>
          <w:color w:val="auto"/>
          <w:sz w:val="24"/>
          <w:szCs w:val="24"/>
          <w:highlight w:val="none"/>
        </w:rPr>
        <w:t>可设置和查询机组的运行参数。</w:t>
      </w:r>
    </w:p>
    <w:p w14:paraId="136CFAE2">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（1）产品应具有以下</w:t>
      </w:r>
      <w:r>
        <w:rPr>
          <w:rFonts w:hint="eastAsia" w:ascii="宋体" w:hAnsi="宋体" w:eastAsia="宋体" w:cs="宋体"/>
          <w:color w:val="auto"/>
          <w:sz w:val="24"/>
          <w:szCs w:val="24"/>
          <w:highlight w:val="none"/>
        </w:rPr>
        <w:t>保护功能：</w:t>
      </w:r>
    </w:p>
    <w:p w14:paraId="3FCF4B7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1）三级密码保护功能，</w:t>
      </w:r>
      <w:r>
        <w:rPr>
          <w:rFonts w:hint="eastAsia" w:ascii="宋体" w:hAnsi="宋体" w:eastAsia="宋体" w:cs="宋体"/>
          <w:color w:val="auto"/>
          <w:sz w:val="24"/>
          <w:szCs w:val="24"/>
          <w:highlight w:val="none"/>
        </w:rPr>
        <w:t>用户/服务/工厂等多重密码</w:t>
      </w:r>
    </w:p>
    <w:p w14:paraId="79CB5750">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2）水流保护</w:t>
      </w:r>
    </w:p>
    <w:p w14:paraId="286EE27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3）防冻保护</w:t>
      </w:r>
    </w:p>
    <w:p w14:paraId="73B8F02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4）相序保护</w:t>
      </w:r>
    </w:p>
    <w:p w14:paraId="744FAB47">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5）压缩机运行压力过高保护</w:t>
      </w:r>
    </w:p>
    <w:p w14:paraId="2F0BA6EC">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6）压缩机低压过低保护</w:t>
      </w:r>
    </w:p>
    <w:p w14:paraId="1A8C5F7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7）压缩机电机过载/过热保护</w:t>
      </w:r>
    </w:p>
    <w:p w14:paraId="43EC36F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8）风机电机过流过载保护</w:t>
      </w:r>
    </w:p>
    <w:p w14:paraId="7D23F49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9）压缩机排气温度过高保护</w:t>
      </w:r>
    </w:p>
    <w:p w14:paraId="4AD6F07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10）压缩机油位油压保护</w:t>
      </w:r>
    </w:p>
    <w:p w14:paraId="1A68A935">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11）出水温度极限保护</w:t>
      </w:r>
    </w:p>
    <w:p w14:paraId="611B47A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12）空气开关保护</w:t>
      </w:r>
    </w:p>
    <w:p w14:paraId="00D475F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13）温度传感器保护</w:t>
      </w:r>
    </w:p>
    <w:p w14:paraId="1AB09827">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14）频繁启停保护</w:t>
      </w:r>
    </w:p>
    <w:p w14:paraId="107385F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15）断流保护</w:t>
      </w:r>
    </w:p>
    <w:p w14:paraId="49D01327">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16）机组电压过低过高报警</w:t>
      </w:r>
    </w:p>
    <w:p w14:paraId="36740DB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3.4.4、控制器应有以下</w:t>
      </w:r>
      <w:r>
        <w:rPr>
          <w:rFonts w:hint="eastAsia" w:ascii="宋体" w:hAnsi="宋体" w:eastAsia="宋体" w:cs="宋体"/>
          <w:color w:val="auto"/>
          <w:sz w:val="24"/>
          <w:szCs w:val="24"/>
          <w:highlight w:val="none"/>
        </w:rPr>
        <w:t>显示功能：</w:t>
      </w:r>
    </w:p>
    <w:p w14:paraId="212DA621">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1）机组模式</w:t>
      </w:r>
    </w:p>
    <w:p w14:paraId="0CA6FEE8">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2）当前时间</w:t>
      </w:r>
    </w:p>
    <w:p w14:paraId="3C79CC1C">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3）机组能力</w:t>
      </w:r>
    </w:p>
    <w:p w14:paraId="755DB01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4）压缩机状态</w:t>
      </w:r>
    </w:p>
    <w:p w14:paraId="5E0197F8">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5）环境温度</w:t>
      </w:r>
    </w:p>
    <w:p w14:paraId="170F1B3C">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6）蒸发器侧进/出水温度</w:t>
      </w:r>
    </w:p>
    <w:p w14:paraId="705E70A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7）压缩机的排/吸气过热度</w:t>
      </w:r>
    </w:p>
    <w:p w14:paraId="3723D8A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8）压缩机的排/吸气压力</w:t>
      </w:r>
    </w:p>
    <w:p w14:paraId="0891ECC5">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9）油压力</w:t>
      </w:r>
    </w:p>
    <w:p w14:paraId="33B8D31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10）压缩机的排气温度</w:t>
      </w:r>
    </w:p>
    <w:p w14:paraId="0B1D9A4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11）油分出口的油温度</w:t>
      </w:r>
    </w:p>
    <w:p w14:paraId="0C666FE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12）冷凝温度</w:t>
      </w:r>
    </w:p>
    <w:p w14:paraId="317822E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13）蒸发温度</w:t>
      </w:r>
    </w:p>
    <w:p w14:paraId="6C6BE26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14）膨胀阀开度</w:t>
      </w:r>
    </w:p>
    <w:p w14:paraId="0B9CC47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15） ECO 主侧进/出口温度</w:t>
      </w:r>
    </w:p>
    <w:p w14:paraId="23116AA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 ECO 膨胀阀开度</w:t>
      </w:r>
    </w:p>
    <w:p w14:paraId="50E06CF5">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 ECO 辅侧出口压力</w:t>
      </w:r>
    </w:p>
    <w:p w14:paraId="0F6CECB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18） ECO 出口压力对应饱和温度</w:t>
      </w:r>
    </w:p>
    <w:p w14:paraId="456F2BC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 ECO 辅侧出口温度</w:t>
      </w:r>
    </w:p>
    <w:p w14:paraId="532287C3">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 ECO 出口过热度</w:t>
      </w:r>
    </w:p>
    <w:p w14:paraId="7220417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21）系统开关</w:t>
      </w:r>
    </w:p>
    <w:p w14:paraId="3F86BA6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22）最短启动间隔</w:t>
      </w:r>
    </w:p>
    <w:p w14:paraId="2E97A34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23）</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1小时启动次数</w:t>
      </w:r>
    </w:p>
    <w:p w14:paraId="0E40E05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24）等待负荷</w:t>
      </w:r>
    </w:p>
    <w:p w14:paraId="0B7936D0">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25）油加热温度</w:t>
      </w:r>
    </w:p>
    <w:p w14:paraId="6BF6272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26）压缩机启动倒计时</w:t>
      </w:r>
    </w:p>
    <w:p w14:paraId="28017B61">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27）机组启动倒计时</w:t>
      </w:r>
    </w:p>
    <w:p w14:paraId="3BB4869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28）常规故障报警、查询</w:t>
      </w:r>
    </w:p>
    <w:p w14:paraId="4D53946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29）中/英文文字</w:t>
      </w:r>
    </w:p>
    <w:p w14:paraId="676E2E0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30）最近10次故障停机历史数据</w:t>
      </w:r>
    </w:p>
    <w:p w14:paraId="65EF96B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31）异常报警并显示</w:t>
      </w:r>
    </w:p>
    <w:p w14:paraId="6EA2E2E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32）压缩机运行时间及负荷平均磨损</w:t>
      </w:r>
    </w:p>
    <w:p w14:paraId="3619EAF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33）压缩机启停机历史数据</w:t>
      </w:r>
    </w:p>
    <w:p w14:paraId="400CCFB1">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34）可连接打印输出各种报警记录、参数</w:t>
      </w:r>
    </w:p>
    <w:p w14:paraId="1ED03DE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35）高效型机组可记录存储机组运行数据和显示图表</w:t>
      </w:r>
    </w:p>
    <w:p w14:paraId="0C8D829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3.4.5、机组其它控制</w:t>
      </w:r>
      <w:r>
        <w:rPr>
          <w:rFonts w:hint="eastAsia" w:ascii="宋体" w:hAnsi="宋体" w:eastAsia="宋体" w:cs="宋体"/>
          <w:color w:val="auto"/>
          <w:sz w:val="24"/>
          <w:szCs w:val="24"/>
          <w:highlight w:val="none"/>
        </w:rPr>
        <w:t>功能：</w:t>
      </w:r>
    </w:p>
    <w:p w14:paraId="0B4D4CA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（1）控制辅助电加热器</w:t>
      </w:r>
    </w:p>
    <w:p w14:paraId="07A8798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（2）外部启动/停机指令的状态</w:t>
      </w:r>
    </w:p>
    <w:p w14:paraId="38A7BDA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kern w:val="0"/>
          <w:sz w:val="24"/>
          <w:szCs w:val="24"/>
          <w:highlight w:val="none"/>
        </w:rPr>
        <w:t>ModBus协议楼宇自动化控制，如：远程控制开/关、远程监控显示、监测所有连接机组运行参数。</w:t>
      </w:r>
    </w:p>
    <w:p w14:paraId="49567199">
      <w:pPr>
        <w:tabs>
          <w:tab w:val="left" w:pos="2160"/>
        </w:tabs>
        <w:autoSpaceDE w:val="0"/>
        <w:autoSpaceDN w:val="0"/>
        <w:adjustRightInd w:val="0"/>
        <w:spacing w:line="360" w:lineRule="auto"/>
        <w:ind w:firstLine="116" w:firstLineChars="50"/>
        <w:outlineLvl w:val="1"/>
        <w:rPr>
          <w:rFonts w:hint="eastAsia" w:ascii="宋体" w:hAnsi="宋体" w:eastAsia="宋体" w:cs="宋体"/>
          <w:bCs/>
          <w:color w:val="auto"/>
          <w:spacing w:val="-4"/>
          <w:sz w:val="24"/>
          <w:szCs w:val="24"/>
          <w:highlight w:val="none"/>
        </w:rPr>
      </w:pPr>
      <w:bookmarkStart w:id="153" w:name="_Toc23500"/>
      <w:r>
        <w:rPr>
          <w:rFonts w:hint="eastAsia" w:ascii="宋体" w:hAnsi="宋体" w:eastAsia="宋体" w:cs="宋体"/>
          <w:b/>
          <w:bCs/>
          <w:color w:val="auto"/>
          <w:spacing w:val="-4"/>
          <w:sz w:val="24"/>
          <w:szCs w:val="24"/>
          <w:highlight w:val="none"/>
        </w:rPr>
        <w:t>4、满液式水冷螺杆冷水机组</w:t>
      </w:r>
      <w:bookmarkEnd w:id="153"/>
    </w:p>
    <w:p w14:paraId="7562911F">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4.1、主要技术参数</w:t>
      </w:r>
    </w:p>
    <w:p w14:paraId="7553DD8A">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4.1.1、冷媒：R134a；</w:t>
      </w:r>
    </w:p>
    <w:p w14:paraId="722F03CA">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4.1.2、机组运行噪音：≤86dB（A）；</w:t>
      </w:r>
    </w:p>
    <w:p w14:paraId="22322384">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4.1.3、国标工况下单台制冷量：≥1370KW； </w:t>
      </w:r>
    </w:p>
    <w:p w14:paraId="79B9F11D">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4.1.4螺杆机组的工况为：</w:t>
      </w:r>
    </w:p>
    <w:p w14:paraId="7C40A491">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（1）冷冻水出/入口温度：7/12℃；压降≤94kPa。</w:t>
      </w:r>
    </w:p>
    <w:p w14:paraId="397B04E3">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（2）冷却水出/入口温度：37/32℃；压降≤84kPa。</w:t>
      </w:r>
    </w:p>
    <w:p w14:paraId="3A1EAE7E">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（3）机组满足《GB 19577-2024》二级能效，国标工况下COP≥6.36、IPLV≥6.915。</w:t>
      </w:r>
    </w:p>
    <w:p w14:paraId="09F61B88">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4.1.5、蒸发器水侧污垢系数：0.0180m2·℃/KW；承压1.0MPa。</w:t>
      </w:r>
    </w:p>
    <w:p w14:paraId="2F5E091D">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4.1.6、冷凝器水侧污垢系数：0.0440m2·℃/KW；承压1.0MPa。</w:t>
      </w:r>
    </w:p>
    <w:p w14:paraId="594691A9">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4.1.7、提供机组的详细参数（设计工况及国标工况）。</w:t>
      </w:r>
    </w:p>
    <w:p w14:paraId="179F2BEA">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4.1.8、启动柜形式：星三角启动。</w:t>
      </w:r>
    </w:p>
    <w:p w14:paraId="08D8684E">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4.1.9、压缩机：压缩机与机组同品牌。</w:t>
      </w:r>
    </w:p>
    <w:p w14:paraId="4E45770C">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4.1.10、冷量调节范围：20－100％无级调节。 </w:t>
      </w:r>
    </w:p>
    <w:p w14:paraId="71A6BE5F">
      <w:pPr>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4.2、一般要求</w:t>
      </w:r>
    </w:p>
    <w:p w14:paraId="2C30D5FA">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4.2.1、每台冷水机组设备主要部件应包括但不限于：压缩机、电动机、冷凝器、蒸发器、润滑油系统、微电脑控制系统、启动装置、安全保护装置、水流连锁开关、设备的保温、减震装置、必须的制冷剂和润滑油，以及其他为本设备调试、验收及正常运行所必须的全部装置和材料等。设备除启动装置、水流开关和减震装置外，其余设备须整体出厂运输至工地现场，不得散件出厂现场拼装。</w:t>
      </w:r>
    </w:p>
    <w:p w14:paraId="1E312E5D">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4.2.2、提供的设备应根据螺杆式冷水机组的标准和规范进行设计制造，并应采用成熟的先进技术，做到结构合理，可靠性高，能耗低，噪声低，不污染环境，操作及维护保养简便。</w:t>
      </w:r>
    </w:p>
    <w:p w14:paraId="757A0445">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4.2.3、本技术规格仅提供本项目所需螺杆式冷水机组主要的亦即最低限度的技术要求，未对机组设计制造所需的全部技术要求进行完整、详细的描述，供货商应以本章技术规格为基本条件，负责机组的设计，提供满足本章要求和有关标准规范的整套成熟产品。</w:t>
      </w:r>
    </w:p>
    <w:p w14:paraId="687AF862">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4.2.4、设备就位固定时必须派驻经业主、监理认可的技术人员到现场，严格按照监理、业主认定的施工方案进行。</w:t>
      </w:r>
    </w:p>
    <w:p w14:paraId="293BA9AB">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4.2.5、投标产品制造商应具有压力容器设计</w:t>
      </w:r>
      <w:r>
        <w:rPr>
          <w:rFonts w:hint="eastAsia" w:ascii="宋体" w:hAnsi="宋体" w:eastAsia="宋体" w:cs="宋体"/>
          <w:color w:val="auto"/>
          <w:kern w:val="0"/>
          <w:sz w:val="24"/>
          <w:szCs w:val="24"/>
          <w:highlight w:val="none"/>
          <w:lang w:eastAsia="zh-CN"/>
        </w:rPr>
        <w:t>制造</w:t>
      </w:r>
      <w:r>
        <w:rPr>
          <w:rFonts w:hint="eastAsia" w:ascii="宋体" w:hAnsi="宋体" w:eastAsia="宋体" w:cs="宋体"/>
          <w:color w:val="auto"/>
          <w:kern w:val="0"/>
          <w:sz w:val="24"/>
          <w:szCs w:val="24"/>
          <w:highlight w:val="none"/>
        </w:rPr>
        <w:t>A2及以上资质，且换热器与机组同品牌。</w:t>
      </w:r>
    </w:p>
    <w:p w14:paraId="7C516A81">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4.2.6、投标人须自行实地考察项目地，机组震动、噪声要求必须符合项目地实际情况，尽可能降低机组及附属设备的震动、噪声。设备本体、电气、控制系统的设计、制造应符合中华人民共和国已执行的最新版本的国家标准、规范。</w:t>
      </w:r>
    </w:p>
    <w:p w14:paraId="355D23A5">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4.2.7、设备应具备与楼宇控制系统连接的通讯接口，通过开放的通讯协议将机组的监控纳入到整个楼宇自控系统中。</w:t>
      </w:r>
    </w:p>
    <w:p w14:paraId="496C6382">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4.3、机组主要零部件技术要求</w:t>
      </w:r>
    </w:p>
    <w:p w14:paraId="6AA56B19">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4.3.1、压缩机</w:t>
      </w:r>
    </w:p>
    <w:p w14:paraId="5B7B7DBB">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（1）螺杆压缩机可采用半封闭或全封闭式单螺杆设计，压缩机品牌应冷水机组同品牌；螺杆压缩机应工作平稳、性能可靠且材质优良、密封性好。 </w:t>
      </w:r>
    </w:p>
    <w:p w14:paraId="427DE9FD">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（2）压缩机采用滑阀控制，可</w:t>
      </w:r>
      <w:r>
        <w:rPr>
          <w:rFonts w:hint="eastAsia" w:ascii="宋体" w:hAnsi="宋体" w:eastAsia="宋体" w:cs="宋体"/>
          <w:color w:val="auto"/>
          <w:kern w:val="0"/>
          <w:sz w:val="24"/>
          <w:szCs w:val="24"/>
          <w:highlight w:val="none"/>
          <w:lang w:eastAsia="zh-CN"/>
        </w:rPr>
        <w:t>进行</w:t>
      </w:r>
      <w:r>
        <w:rPr>
          <w:rFonts w:hint="eastAsia" w:ascii="宋体" w:hAnsi="宋体" w:eastAsia="宋体" w:cs="宋体"/>
          <w:color w:val="auto"/>
          <w:kern w:val="0"/>
          <w:sz w:val="24"/>
          <w:szCs w:val="24"/>
          <w:highlight w:val="none"/>
        </w:rPr>
        <w:t>无极能量调节，负荷调节范围应满足20%~100%，</w:t>
      </w:r>
    </w:p>
    <w:p w14:paraId="7805511A">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（3）压缩机应具有良好的润滑系统和装置，采用压差供油润滑，使</w:t>
      </w:r>
      <w:r>
        <w:rPr>
          <w:rFonts w:hint="eastAsia" w:ascii="宋体" w:hAnsi="宋体" w:eastAsia="宋体" w:cs="宋体"/>
          <w:color w:val="auto"/>
          <w:kern w:val="0"/>
          <w:sz w:val="24"/>
          <w:szCs w:val="24"/>
          <w:highlight w:val="none"/>
          <w:lang w:eastAsia="zh-CN"/>
        </w:rPr>
        <w:t>各部分</w:t>
      </w:r>
      <w:r>
        <w:rPr>
          <w:rFonts w:hint="eastAsia" w:ascii="宋体" w:hAnsi="宋体" w:eastAsia="宋体" w:cs="宋体"/>
          <w:color w:val="auto"/>
          <w:kern w:val="0"/>
          <w:sz w:val="24"/>
          <w:szCs w:val="24"/>
          <w:highlight w:val="none"/>
        </w:rPr>
        <w:t>始终保持良好的运行状态。</w:t>
      </w:r>
    </w:p>
    <w:p w14:paraId="63B5173E">
      <w:pPr>
        <w:numPr>
          <w:ilvl w:val="1"/>
          <w:numId w:val="0"/>
        </w:num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4.3.2蒸发器与冷凝器</w:t>
      </w:r>
    </w:p>
    <w:p w14:paraId="321016C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（1）蒸发器和冷凝器必须符合压力容器相应规范，换热器与机组同品牌，应提供压力容器的生产资质；</w:t>
      </w:r>
    </w:p>
    <w:p w14:paraId="181BA1C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（2）蒸发器、冷凝器水压降应满足招标技术要求；蒸发器形式应采用满液式，不得采用其他形式。</w:t>
      </w:r>
    </w:p>
    <w:p w14:paraId="14C4AD77">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（3）蒸发器、冷凝器传热管应为高效传热管，以扩大传热面积，提高传热效率，传热管可以单根更换，不影响管板的强度和寿命，并不造成相邻管的泄漏；</w:t>
      </w:r>
    </w:p>
    <w:p w14:paraId="01BFE3F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（4）蒸发器、冷凝器应有措施避免液态冷媒吸入压缩机及压缩机排放的高速气体直接冲出管束，以利于延长管束寿命，降低噪声；</w:t>
      </w:r>
    </w:p>
    <w:p w14:paraId="370B0E6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（5）蒸发器、冷凝器应便于拆卸、易于保养；</w:t>
      </w:r>
    </w:p>
    <w:p w14:paraId="77A2B390">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（6）冷凝器内置油分离装置。</w:t>
      </w:r>
    </w:p>
    <w:p w14:paraId="5C1BCE8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（7）机组具备油温检测功能，机组满足油温检测，油加热后，温度达到检测温度时开机，保证回油没有任何问题</w:t>
      </w:r>
    </w:p>
    <w:p w14:paraId="049C43A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（8）提供机组可正常工作下的冷冻水温度运行范围，冷却水温度运行范围。</w:t>
      </w:r>
    </w:p>
    <w:p w14:paraId="403B89A3">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（9）换热器采用两流程逆流设计。</w:t>
      </w:r>
    </w:p>
    <w:p w14:paraId="7E1E7BE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（10）机组应配备气液分离器或蒸发器内置高效挡液板用于过滤液体，防止液滴对压缩机进行损伤。</w:t>
      </w:r>
    </w:p>
    <w:p w14:paraId="6DD7DB7F">
      <w:pPr>
        <w:tabs>
          <w:tab w:val="left" w:pos="1350"/>
        </w:tabs>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（11）机组应配置压差式水流开关。</w:t>
      </w:r>
    </w:p>
    <w:p w14:paraId="081F140E">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4.3.3、电机</w:t>
      </w:r>
    </w:p>
    <w:p w14:paraId="3C5164F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（1）绝缘等级：不低于F级</w:t>
      </w:r>
    </w:p>
    <w:p w14:paraId="29DC0FF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（2）冷却方式：冷媒冷却</w:t>
      </w:r>
    </w:p>
    <w:p w14:paraId="5A7A98E0">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（3）标明电机品牌</w:t>
      </w:r>
    </w:p>
    <w:p w14:paraId="585D48BE">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（4）说明电机轴承的润滑方式，确保机组运行的可靠性；</w:t>
      </w:r>
    </w:p>
    <w:p w14:paraId="26EF8200">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（5）工作电压：机组在380V电压波动±10％的情况下，机组应能正常工作。</w:t>
      </w:r>
    </w:p>
    <w:p w14:paraId="6DCB9E7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（6）电动机的技术要求应符合GB755、GBl032及IEC等相关标准和规定外。</w:t>
      </w:r>
    </w:p>
    <w:p w14:paraId="0C7C8AE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（7）设备启动柜要求配备机载启动柜，由投标人实施设备启动柜至机组的所有配线和安装工作。</w:t>
      </w:r>
    </w:p>
    <w:p w14:paraId="510EBEB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4.3.4、冷水机组其他关键部件如启动柜、电脑控制中心、膨胀节流机构、主要阀件、电气元件、蒸发器、冷凝器等，要求采用国际先进的名牌产品，并列明品牌、产地、材质、整件进口或散件国内组装等；</w:t>
      </w:r>
    </w:p>
    <w:p w14:paraId="350A417E">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4.3.5、机组节流装置应采用电子膨胀阀精确调节制冷剂流量，充分发挥压缩机、蒸发器能力，使机组在任何一个负荷点都保持最高的运行效率。</w:t>
      </w:r>
    </w:p>
    <w:p w14:paraId="2DA50DB1">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4.4、控制</w:t>
      </w:r>
    </w:p>
    <w:p w14:paraId="2303725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4.4.1、水冷空调</w:t>
      </w:r>
      <w:r>
        <w:rPr>
          <w:rFonts w:hint="eastAsia" w:ascii="宋体" w:hAnsi="宋体" w:eastAsia="宋体" w:cs="宋体"/>
          <w:color w:val="auto"/>
          <w:kern w:val="0"/>
          <w:sz w:val="24"/>
          <w:szCs w:val="24"/>
          <w:highlight w:val="none"/>
          <w:lang w:eastAsia="zh-CN"/>
        </w:rPr>
        <w:t>机组</w:t>
      </w:r>
      <w:r>
        <w:rPr>
          <w:rFonts w:hint="eastAsia" w:ascii="宋体" w:hAnsi="宋体" w:eastAsia="宋体" w:cs="宋体"/>
          <w:color w:val="auto"/>
          <w:kern w:val="0"/>
          <w:sz w:val="24"/>
          <w:szCs w:val="24"/>
          <w:highlight w:val="none"/>
        </w:rPr>
        <w:t>显示屏采用7寸及以上彩色液晶触摸屏，工业级微电脑控制。</w:t>
      </w:r>
    </w:p>
    <w:p w14:paraId="289083A1">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4.4.2、最低可实现12℃低冷却水工况下安全启动，无需增加旁通部件。</w:t>
      </w:r>
    </w:p>
    <w:p w14:paraId="12BB07D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4.4.3、机组具备断电快速重启功能，为保护压缩机，防止频繁启动，启动时间间隔需满足大于15min，1小时最多不</w:t>
      </w:r>
      <w:r>
        <w:rPr>
          <w:rFonts w:hint="eastAsia" w:ascii="宋体" w:hAnsi="宋体" w:eastAsia="宋体" w:cs="宋体"/>
          <w:color w:val="auto"/>
          <w:kern w:val="0"/>
          <w:sz w:val="24"/>
          <w:szCs w:val="24"/>
          <w:highlight w:val="none"/>
          <w:lang w:eastAsia="zh-CN"/>
        </w:rPr>
        <w:t>超过</w:t>
      </w:r>
      <w:r>
        <w:rPr>
          <w:rFonts w:hint="eastAsia" w:ascii="宋体" w:hAnsi="宋体" w:eastAsia="宋体" w:cs="宋体"/>
          <w:color w:val="auto"/>
          <w:kern w:val="0"/>
          <w:sz w:val="24"/>
          <w:szCs w:val="24"/>
          <w:highlight w:val="none"/>
        </w:rPr>
        <w:t>4次启动。</w:t>
      </w:r>
    </w:p>
    <w:p w14:paraId="4D028185">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4.4.4、冷水机组应具有</w:t>
      </w:r>
      <w:r>
        <w:rPr>
          <w:rFonts w:hint="eastAsia" w:ascii="宋体" w:hAnsi="宋体" w:eastAsia="宋体" w:cs="宋体"/>
          <w:color w:val="auto"/>
          <w:kern w:val="0"/>
          <w:sz w:val="24"/>
          <w:szCs w:val="24"/>
          <w:highlight w:val="none"/>
          <w:lang w:eastAsia="zh-CN"/>
        </w:rPr>
        <w:t>日常</w:t>
      </w:r>
      <w:r>
        <w:rPr>
          <w:rFonts w:hint="eastAsia" w:ascii="宋体" w:hAnsi="宋体" w:eastAsia="宋体" w:cs="宋体"/>
          <w:color w:val="auto"/>
          <w:kern w:val="0"/>
          <w:sz w:val="24"/>
          <w:szCs w:val="24"/>
          <w:highlight w:val="none"/>
        </w:rPr>
        <w:t>功能。水冷空调机组控制应能配置成手动或自动启动/停机。在自动操作模式下，控制装置应能自动按照用户编制的使用日程表启停水冷空调机组。</w:t>
      </w:r>
    </w:p>
    <w:p w14:paraId="1F2ABE5F">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4.4.5、控制系统应有能在水冷空调机组运行和停机的任何时刻来检查和改变冷冻水进出水设定点。</w:t>
      </w:r>
    </w:p>
    <w:p w14:paraId="3A2BDA64">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4.4.6、控制系统应能使压缩机平缓停机。</w:t>
      </w:r>
    </w:p>
    <w:p w14:paraId="1D75232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4.4.7、所有机组均具有与楼宇自动化系统联网的能力，数据可通过通讯接口输出，协议为ModBus、BACnet、TCP/IP或为BA承包商可接受的协议。</w:t>
      </w:r>
    </w:p>
    <w:p w14:paraId="723D2885">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4.5、安全装置</w:t>
      </w:r>
    </w:p>
    <w:p w14:paraId="7D3BA397">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4.5.1、如在以下任何一种情况发生时，机组应能自动停机（不仅</w:t>
      </w:r>
      <w:r>
        <w:rPr>
          <w:rFonts w:hint="eastAsia" w:ascii="宋体" w:hAnsi="宋体" w:eastAsia="宋体" w:cs="宋体"/>
          <w:color w:val="auto"/>
          <w:kern w:val="0"/>
          <w:sz w:val="24"/>
          <w:szCs w:val="24"/>
          <w:highlight w:val="none"/>
          <w:lang w:eastAsia="zh-CN"/>
        </w:rPr>
        <w:t>限于以下内容</w:t>
      </w:r>
      <w:r>
        <w:rPr>
          <w:rFonts w:hint="eastAsia" w:ascii="宋体" w:hAnsi="宋体" w:eastAsia="宋体" w:cs="宋体"/>
          <w:color w:val="auto"/>
          <w:kern w:val="0"/>
          <w:sz w:val="24"/>
          <w:szCs w:val="24"/>
          <w:highlight w:val="none"/>
        </w:rPr>
        <w:t>）。</w:t>
      </w:r>
    </w:p>
    <w:p w14:paraId="6C5A3B5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电机超电流；</w:t>
      </w:r>
    </w:p>
    <w:p w14:paraId="2352986D">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电压过高或过低；</w:t>
      </w:r>
    </w:p>
    <w:p w14:paraId="1E234D98">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电机绕组温度过高； </w:t>
      </w:r>
    </w:p>
    <w:p w14:paraId="4732B763">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轴承油温过高；</w:t>
      </w:r>
    </w:p>
    <w:p w14:paraId="20E9DE8E">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冷冻水温度过低；</w:t>
      </w:r>
    </w:p>
    <w:p w14:paraId="2086FB15">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蒸发器高低压保护；</w:t>
      </w:r>
    </w:p>
    <w:p w14:paraId="022A2AF1">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冷凝器高低压保护；</w:t>
      </w:r>
    </w:p>
    <w:p w14:paraId="261B0159">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以上任何一种保护性限制都要求手动复位，并显示警报信息。如在电源故障后能自动再启动，则应不须手动复位。</w:t>
      </w:r>
    </w:p>
    <w:p w14:paraId="2539E68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4.5.2、控制系统应该探明接近保护极限的情况并在警报发生前采取自动校正措施。当以下任何一个参数超出它们的正常运行范围时，系统应自动降低冷水机容量：</w:t>
      </w:r>
    </w:p>
    <w:p w14:paraId="227B7CCA">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冷凝器压力过高；</w:t>
      </w:r>
    </w:p>
    <w:p w14:paraId="498D022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电机温度过高；</w:t>
      </w:r>
    </w:p>
    <w:p w14:paraId="5EFC2972">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蒸发器制冷剂温度过低；</w:t>
      </w:r>
    </w:p>
    <w:p w14:paraId="580D6320">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电机电流过高。</w:t>
      </w:r>
    </w:p>
    <w:p w14:paraId="3F89651B">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如果任何一</w:t>
      </w:r>
      <w:r>
        <w:rPr>
          <w:rFonts w:hint="eastAsia" w:ascii="宋体" w:hAnsi="宋体" w:eastAsia="宋体" w:cs="宋体"/>
          <w:color w:val="auto"/>
          <w:kern w:val="0"/>
          <w:sz w:val="24"/>
          <w:szCs w:val="24"/>
          <w:highlight w:val="none"/>
          <w:lang w:eastAsia="zh-CN"/>
        </w:rPr>
        <w:t>种</w:t>
      </w:r>
      <w:r>
        <w:rPr>
          <w:rFonts w:hint="eastAsia" w:ascii="宋体" w:hAnsi="宋体" w:eastAsia="宋体" w:cs="宋体"/>
          <w:color w:val="auto"/>
          <w:kern w:val="0"/>
          <w:sz w:val="24"/>
          <w:szCs w:val="24"/>
          <w:highlight w:val="none"/>
        </w:rPr>
        <w:t>情况达到保护极限，水冷空调机组则应停机，并显示一个信息。</w:t>
      </w:r>
    </w:p>
    <w:p w14:paraId="447EC15C">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4.6、服务</w:t>
      </w:r>
    </w:p>
    <w:p w14:paraId="3A650FFC">
      <w:pPr>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4.6.1、投标产品具备完善可靠的自动保护功能，能储存报警记录超过100条，可记录90天运行数据。</w:t>
      </w:r>
    </w:p>
    <w:p w14:paraId="5902A32F">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54" w:name="_Toc5025"/>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pacing w:val="13"/>
          <w:sz w:val="24"/>
          <w:szCs w:val="24"/>
          <w:highlight w:val="none"/>
        </w:rPr>
        <w:t>定（变）风量阀</w:t>
      </w:r>
      <w:bookmarkEnd w:id="154"/>
      <w:r>
        <w:rPr>
          <w:rFonts w:hint="eastAsia" w:ascii="宋体" w:hAnsi="宋体" w:eastAsia="宋体" w:cs="宋体"/>
          <w:b/>
          <w:bCs/>
          <w:color w:val="auto"/>
          <w:w w:val="180"/>
          <w:sz w:val="24"/>
          <w:szCs w:val="24"/>
          <w:highlight w:val="none"/>
        </w:rPr>
        <w:t xml:space="preserve"> </w:t>
      </w:r>
    </w:p>
    <w:p w14:paraId="15844EA4">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变风量采用高速执行机构，应具有快速反应能力，当排风管道压力变化时，调节响应及稳定时间为≤2秒；可调比不低于13:1，风阀采用DC24V供电，支持Modbus标准协议，能与自控系统直接对接。变风量系统控制器自带无源干接点信号，可作为风机启停信号。</w:t>
      </w:r>
    </w:p>
    <w:p w14:paraId="3792FF94">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变风量阀需采用流量控制阀，阀门自带2个以上的在线流量测量装置，变风量要求风量控制精度为控制风量的≥95%，风阀的流量测量装置和风阀流量控制应为一体化集成产品，必须是标准化量产产品，以保证产品质量，不接受临时设计定制产品。</w:t>
      </w:r>
    </w:p>
    <w:p w14:paraId="07362110">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（3）变风量风阀须采用压力无关性阀门，在设定风量情况下，当静压值（100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750Pa）变化时，要求实测风量与设定风量偏差≤5%。根据国家标准，要求实测风量与设定风量偏差≤5%，阀体泄漏等级达到A级阀体漏风量。提供具有CMA或CNAS资质的第三方检测报告证明，报告内容应包含《风阀风量与阀前静压无关性及阀体漏风量》、《风阀风量调节特性与阻力特性》两项检测项目。</w:t>
      </w:r>
    </w:p>
    <w:p w14:paraId="0E770B07">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（4）变风量阀需满足电气安全认证要求。</w:t>
      </w:r>
    </w:p>
    <w:p w14:paraId="329BD32D">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变风量阀阀体及阀叶采用PP+30%玻纤材质，具备高度防腐、阻燃等特性，满足实验室防火要求及噪音要求，支持意外紧急排风功能。优先选用风阀带一体集成风量测量装置、可精确计算出实际风量值的变风量阀；依据管道实测风量和需求风量对比进行精确调节，维持需求风量恒定。</w:t>
      </w:r>
    </w:p>
    <w:p w14:paraId="7897628B">
      <w:pPr>
        <w:spacing w:line="360" w:lineRule="auto"/>
        <w:ind w:firstLine="120" w:firstLineChars="50"/>
        <w:jc w:val="left"/>
        <w:rPr>
          <w:rFonts w:hint="eastAsia" w:ascii="宋体" w:hAnsi="宋体" w:eastAsia="宋体" w:cs="宋体"/>
          <w:color w:val="auto"/>
          <w:kern w:val="44"/>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kern w:val="44"/>
          <w:sz w:val="24"/>
          <w:szCs w:val="24"/>
          <w:highlight w:val="none"/>
        </w:rPr>
        <w:t>依据国家标准，</w:t>
      </w:r>
      <w:r>
        <w:rPr>
          <w:rFonts w:hint="eastAsia" w:ascii="宋体" w:hAnsi="宋体" w:eastAsia="宋体" w:cs="宋体"/>
          <w:color w:val="auto"/>
          <w:sz w:val="24"/>
          <w:szCs w:val="24"/>
          <w:highlight w:val="none"/>
        </w:rPr>
        <w:t>变风量阀应在硫酸（浓度15%）、盐酸（浓度15%）、氢氧化钠（浓度10%）、23℃环境条件下，持续浸泡168小时后，试样应无变色、无起泡、无变形、无开裂现象；应在 30℃环境温度、450pphm 臭氧浓度条件下，持续试验24小时后，试样应无</w:t>
      </w:r>
      <w:r>
        <w:rPr>
          <w:rFonts w:hint="eastAsia" w:ascii="宋体" w:hAnsi="宋体" w:eastAsia="宋体" w:cs="宋体"/>
          <w:color w:val="auto"/>
          <w:kern w:val="44"/>
          <w:sz w:val="24"/>
          <w:szCs w:val="24"/>
          <w:highlight w:val="none"/>
        </w:rPr>
        <w:t>变色、无起泡、无变形、无开裂现象</w:t>
      </w:r>
      <w:r>
        <w:rPr>
          <w:rFonts w:hint="eastAsia" w:ascii="宋体" w:hAnsi="宋体" w:eastAsia="宋体" w:cs="宋体"/>
          <w:color w:val="auto"/>
          <w:sz w:val="24"/>
          <w:szCs w:val="24"/>
          <w:highlight w:val="none"/>
        </w:rPr>
        <w:t>。提供具有CMA或CNAS资质的第三方检测报告证明，报告内应具有以上检测数据。</w:t>
      </w:r>
    </w:p>
    <w:p w14:paraId="6CA0DA86">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（7）依据UL94或等同的国家标准测试方法要求，变风量阀材料垂直燃烧测试符合V-0要求。</w:t>
      </w:r>
    </w:p>
    <w:p w14:paraId="53C0D841">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（8）依据UL94或等同的国家标准测试方法要求，变风量阀材料水平燃烧测试符合HB要求。</w:t>
      </w:r>
    </w:p>
    <w:p w14:paraId="2C2CCD35">
      <w:pPr>
        <w:spacing w:line="360" w:lineRule="auto"/>
        <w:ind w:firstLine="120" w:firstLineChars="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定变风量阀整套系统（阀体、快速执行器、控制器、传感器）必须为同一原厂成套提供，不得不同品牌拼凑；每套变风量阀须配套独立的控制及执行部件；所有阀门须在原生产厂家专用标定台完成整机标定，标定台具备第三方认证，保证风量控制精度与产品质量。</w:t>
      </w:r>
    </w:p>
    <w:p w14:paraId="3AE92D3B">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55" w:name="_Toc25109"/>
      <w:r>
        <w:rPr>
          <w:rFonts w:hint="eastAsia" w:ascii="宋体" w:hAnsi="宋体" w:eastAsia="宋体" w:cs="宋体"/>
          <w:b/>
          <w:bCs/>
          <w:color w:val="auto"/>
          <w:sz w:val="24"/>
          <w:szCs w:val="24"/>
          <w:highlight w:val="none"/>
          <w:lang w:eastAsia="zh-CN"/>
        </w:rPr>
        <w:t>6.</w:t>
      </w:r>
      <w:r>
        <w:rPr>
          <w:rFonts w:hint="eastAsia" w:ascii="宋体" w:hAnsi="宋体" w:eastAsia="宋体" w:cs="宋体"/>
          <w:b/>
          <w:bCs/>
          <w:color w:val="auto"/>
          <w:sz w:val="24"/>
          <w:szCs w:val="24"/>
          <w:highlight w:val="none"/>
        </w:rPr>
        <w:t>高效送风口</w:t>
      </w:r>
      <w:bookmarkEnd w:id="155"/>
    </w:p>
    <w:p w14:paraId="7DFDE45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6.1、高效送风口箱体</w:t>
      </w:r>
    </w:p>
    <w:p w14:paraId="4C7E1D4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6.1.1、主要技术参数：</w:t>
      </w:r>
    </w:p>
    <w:p w14:paraId="461A9E0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（1）材质：主体应为至少1.2毫米厚碳钢喷塑，散流板为铝板喷塑，外表面和内表面均要喷涂，喷涂厚度不小于80μm，颜色乳白。</w:t>
      </w:r>
    </w:p>
    <w:p w14:paraId="786C6FB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（2）箱体应有足够的强度，必须具有完整可靠的框架结构，提供满足机械强度的级别，在运输及使用时不得出现凹凸变形现象。</w:t>
      </w:r>
    </w:p>
    <w:p w14:paraId="2402DC0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（3）内部连接处的密封采用无硅的密封胶进行密封。</w:t>
      </w:r>
    </w:p>
    <w:p w14:paraId="1AF2517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（4）箱体整体漏风率应小于1%。</w:t>
      </w:r>
    </w:p>
    <w:p w14:paraId="1742E33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（5）所有的过滤器应是标准的过滤器产品，过滤框架和箱体连接处应做到气密，与过滤器等级相符。</w:t>
      </w:r>
    </w:p>
    <w:p w14:paraId="1282716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（6）过滤器框架应由碳钢材质制成，全焊透且结构坚固。</w:t>
      </w:r>
    </w:p>
    <w:p w14:paraId="7C43A0E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（7）连接方式：法兰连接，宽度30mm。</w:t>
      </w:r>
    </w:p>
    <w:p w14:paraId="09CED3A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（8）吊耳：4片30*30吊耳。</w:t>
      </w:r>
    </w:p>
    <w:p w14:paraId="22051E0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（9）安装方式：吊装。</w:t>
      </w:r>
    </w:p>
    <w:p w14:paraId="0C1AC14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（10）散流形式：百叶+散流孔板式/旋压式。</w:t>
      </w:r>
    </w:p>
    <w:p w14:paraId="1CF86F5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6.2、高效无隔板过滤器</w:t>
      </w:r>
    </w:p>
    <w:p w14:paraId="60F6D44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（1）高效无隔板过滤器为H14，过滤器厚度为93mm，初阻力1m/s不高于220Pa，在额定风量下初阻力不大于220Pa。</w:t>
      </w:r>
    </w:p>
    <w:p w14:paraId="379DE74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（2）过滤器安装采用液槽密封，采用进口Silicone gel或者easy pour液槽胶，密封用热熔胶PU胶为富乐品牌，液槽胶和热熔胶不能产生有害挥发物。</w:t>
      </w:r>
    </w:p>
    <w:p w14:paraId="1F74AAD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（3）高效过滤器应有防火等级认证。</w:t>
      </w:r>
    </w:p>
    <w:p w14:paraId="5C54CC9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按照EN1822检测标准，采用AstroScan全自动扫描检漏测试台进行检测检漏，测试过程必须有标定风量、阻力、MPPS粒径点和上游测试粒子浓度的数据记录的文件。过滤器标签应防伪二维码，具备唯一序列号，产品完全可追溯，厂家需提供过滤器的效率、初阻力、终阻力。</w:t>
      </w:r>
    </w:p>
    <w:p w14:paraId="5A359C5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（5）过滤器采用 PE袋包裹，用胶带封粘贴固定。箱体底部放置珍珠棉作为缓冲介质。四周用护角固定。内置过滤器四周用护角保护，两片中间加入隔板保护，不满箱或有剩余空间时用气泡柱塞满。箱体为托板包装运输，最高叠放为五层。运输应打缠绕膜加托盘，如长途运输应打木架，以防止货物碰撞或者磨损，风口和过滤器应委派专车运输，抵达现场，避免二次周转导致破损、碰撞风险。</w:t>
      </w:r>
    </w:p>
    <w:p w14:paraId="094BB57F">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56" w:name="_Toc28797"/>
      <w:r>
        <w:rPr>
          <w:rFonts w:hint="eastAsia" w:ascii="宋体" w:hAnsi="宋体" w:eastAsia="宋体" w:cs="宋体"/>
          <w:b/>
          <w:bCs/>
          <w:color w:val="auto"/>
          <w:sz w:val="24"/>
          <w:szCs w:val="24"/>
          <w:highlight w:val="none"/>
          <w:lang w:eastAsia="zh-CN"/>
        </w:rPr>
        <w:t>7.</w:t>
      </w:r>
      <w:r>
        <w:rPr>
          <w:rFonts w:hint="eastAsia" w:ascii="宋体" w:hAnsi="宋体" w:eastAsia="宋体" w:cs="宋体"/>
          <w:b/>
          <w:bCs/>
          <w:color w:val="auto"/>
          <w:sz w:val="24"/>
          <w:szCs w:val="24"/>
          <w:highlight w:val="none"/>
        </w:rPr>
        <w:t>干式化学过滤器</w:t>
      </w:r>
      <w:bookmarkEnd w:id="156"/>
    </w:p>
    <w:p w14:paraId="40E3364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（1）干式化学过滤器可按需同时处理酸性气体、碱性气体、有机废气等。</w:t>
      </w:r>
    </w:p>
    <w:p w14:paraId="5DD9CF3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（2）本着节约成本同时又要保证性能的角度设计，对于三种类别的气体过滤采用混合一次过滤形式完成。</w:t>
      </w:r>
    </w:p>
    <w:p w14:paraId="62970B8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酸性气体过滤，要求采用氧化分解和化学中和相结合的工艺。氧化分解功能采用的过滤材料为浸渍高锰酸钾的活性氧化铝，去除能力按照比重法要求H2S大于14%，SO2大于7%，NOX大于30%；化学中和反应功能采用的过滤材料为浸渍氢氧化钾的柱状活性炭，去除能力按照比重法要求H2S大于18%，SO2大于10%，CL2大于8%，过滤要求大于90%。</w:t>
      </w:r>
    </w:p>
    <w:p w14:paraId="10CAB43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（4）同样对于碱性气体，采用浸渍磷酸柱状活性炭进行中和反应，过滤效率大于90%。</w:t>
      </w:r>
    </w:p>
    <w:p w14:paraId="25238AA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（5）对于有机气体过滤采用柱状活性炭处理，活性炭基材粒径4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6mm，堆比重≤550kg/m³，湿度≤5%，硬度≥95%，过滤要求大于90%。</w:t>
      </w:r>
    </w:p>
    <w:p w14:paraId="26DBD41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改性吸附净化机组所采用的化学滤料针对苯吸附率不低于49%，对碘吸附值不低于1000mg/g，对甲醛的吸附率不低于42%，对四氯化碳的吸附率大于80%，对氨气的吸附效率不低于95%，着火点不低于495摄氏度，氯气吸附效率不低于95%，二氧化硫吸附效率不低于99%，硫化氢吸附效率不低于99%。</w:t>
      </w:r>
    </w:p>
    <w:p w14:paraId="7D42D8C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（7）使用温度范围-20℃至51℃，使用湿度范围10~95%RH（相对湿度）。</w:t>
      </w:r>
    </w:p>
    <w:p w14:paraId="3499188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（8）改性吸附净化机组所采用的化学滤料防火性能为F1级（参照DIN 53438 Part3:1984材料可燃性测试标准，火焰未达标记线前自熄），预处理条件符合DIN50014-23/50-2。</w:t>
      </w:r>
    </w:p>
    <w:p w14:paraId="6614225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（9）设备制作形式。</w:t>
      </w:r>
    </w:p>
    <w:p w14:paraId="0801660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上述功能的滤料混合以后灌装在过滤模块滤芯里面，过滤模块要求为耐腐蚀性的ABS材料/金属材料，过滤模块的有效装填层厚度满足≥75mm，尺寸偏差不超过1%，模块设计的尺寸、重量满足单人灌装、搬运、装填等人性化要求。</w:t>
      </w:r>
    </w:p>
    <w:p w14:paraId="3279AD8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b.设备要求节能性能，穿过滤料层的风速不高于1.0m/s。 </w:t>
      </w:r>
    </w:p>
    <w:p w14:paraId="4CC15DC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设备箱体面板为不低于304不锈钢板/镀锌钢板防腐喷涂，内部型材为不锈钢/覆铝锌钢板，设备整体结构采用框架形式，避免使用一段时间出现严重变形。框架由优质型材制作，满足常年的防雨防尘防老化等应用标准。设备门为侧面开启式，可以全拆卸，门设计必须满足负压状态下的防雨功能，设备所有的门锁配件必须采用具有一定耐大气腐蚀的以金属为主的材质，以不锈钢不低于304和铸铝喷塑为首选。</w:t>
      </w:r>
    </w:p>
    <w:p w14:paraId="70F9144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d.根据GB/T 14294-2008标准，改性吸附净化机组整体泄漏率&lt;1%，同时设计压力下，漏风率小于1%。</w:t>
      </w:r>
    </w:p>
    <w:p w14:paraId="3707AFA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e.所有模块滤芯可以抽屉形式从箱体的侧面抽拉出来，模块滤芯更换维护必须满足便捷、卫生的标准。原则上模块属于受到污染的废弃物，废旧的模块要满足人员皮肤不接触的情况下，可以整体打包密封。 </w:t>
      </w:r>
    </w:p>
    <w:p w14:paraId="23175B1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（10）过滤模块的性能能够通过酸性气体、碱性气体和TVOC三大类气体性能实验，模块过滤效率大于90%。</w:t>
      </w:r>
    </w:p>
    <w:p w14:paraId="118647D2">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57" w:name="_Toc14027"/>
      <w:r>
        <w:rPr>
          <w:rFonts w:hint="eastAsia" w:ascii="宋体" w:hAnsi="宋体" w:eastAsia="宋体" w:cs="宋体"/>
          <w:b/>
          <w:bCs/>
          <w:color w:val="auto"/>
          <w:sz w:val="24"/>
          <w:szCs w:val="24"/>
          <w:highlight w:val="none"/>
        </w:rPr>
        <w:t>8、</w:t>
      </w:r>
      <w:bookmarkEnd w:id="157"/>
      <w:r>
        <w:rPr>
          <w:rFonts w:hint="eastAsia" w:ascii="宋体" w:hAnsi="宋体" w:eastAsia="宋体" w:cs="宋体"/>
          <w:b/>
          <w:bCs/>
          <w:color w:val="auto"/>
          <w:kern w:val="0"/>
          <w:sz w:val="24"/>
          <w:szCs w:val="24"/>
          <w:highlight w:val="none"/>
          <w:lang w:bidi="ar"/>
        </w:rPr>
        <w:t>多联式变制冷剂流量空调器</w:t>
      </w:r>
    </w:p>
    <w:p w14:paraId="117F94B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本次采购多联机产品采用规范与标准如下：</w:t>
      </w:r>
    </w:p>
    <w:p w14:paraId="50206C1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—《多联式空调（热泵）机组》 GB/T 18837-2002</w:t>
      </w:r>
    </w:p>
    <w:p w14:paraId="2D0403F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—《房间空气调节器能源效率限定值及能效等级》GB12021.3-2010  </w:t>
      </w:r>
    </w:p>
    <w:p w14:paraId="2A98705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—《制冷剂编号方法和安全性分类》GB/T7778-2008</w:t>
      </w:r>
    </w:p>
    <w:p w14:paraId="1850474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—《公共建筑节能设计标准》GB50189-2005</w:t>
      </w:r>
    </w:p>
    <w:p w14:paraId="758BFEC0">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—《通风与空调工程施工质量验收规范》GB50243－2002</w:t>
      </w:r>
    </w:p>
    <w:p w14:paraId="4694063C">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—《声环境质量标准》GB3096－2008</w:t>
      </w:r>
    </w:p>
    <w:p w14:paraId="5398CC56">
      <w:pPr>
        <w:spacing w:line="360" w:lineRule="auto"/>
        <w:ind w:firstLine="120" w:firstLineChars="50"/>
        <w:rPr>
          <w:rFonts w:hint="eastAsia" w:ascii="宋体" w:hAnsi="宋体" w:eastAsia="宋体" w:cs="宋体"/>
          <w:color w:val="auto"/>
          <w:sz w:val="24"/>
          <w:szCs w:val="24"/>
          <w:highlight w:val="none"/>
        </w:rPr>
      </w:pPr>
      <w:bookmarkStart w:id="158" w:name="_Toc218329731"/>
      <w:bookmarkStart w:id="159" w:name="_Toc228333282"/>
      <w:bookmarkStart w:id="160" w:name="_Toc212454124"/>
      <w:bookmarkStart w:id="161" w:name="_Toc104948622"/>
      <w:bookmarkStart w:id="162" w:name="_Toc136846488"/>
      <w:r>
        <w:rPr>
          <w:rFonts w:hint="eastAsia" w:ascii="宋体" w:hAnsi="宋体" w:eastAsia="宋体" w:cs="宋体"/>
          <w:color w:val="auto"/>
          <w:sz w:val="24"/>
          <w:szCs w:val="24"/>
          <w:highlight w:val="none"/>
        </w:rPr>
        <w:t>（1）工作环境条件要求</w:t>
      </w:r>
      <w:bookmarkEnd w:id="158"/>
      <w:bookmarkEnd w:id="159"/>
      <w:bookmarkEnd w:id="160"/>
      <w:bookmarkEnd w:id="161"/>
      <w:bookmarkEnd w:id="162"/>
    </w:p>
    <w:p w14:paraId="5C97F084">
      <w:pPr>
        <w:tabs>
          <w:tab w:val="left" w:pos="547"/>
          <w:tab w:val="left" w:pos="1080"/>
        </w:tabs>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制冷运转范围为-5～+43℃，制热运转范围为-15～+15.5℃。冬季制热性能可靠，热衰减少。冬季极限工作温度在室外温度为-15℃的情况下，仍保持正常制热运转。室外机满足常年露天工作条件。</w:t>
      </w:r>
    </w:p>
    <w:p w14:paraId="106570D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（2）运行能力</w:t>
      </w:r>
    </w:p>
    <w:p w14:paraId="12698E6E">
      <w:pPr>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全封闭变制冷剂流量压缩机，整机可在10%～100%之间进行负荷调节，并提供变制冷剂流量调节方式。当只有部分室内机开启时，室外机则通过减少制冷剂流量，使功率降低。每一台室内机具备可以根据房间的要求进行独立的制冷或制热的运转能力，压缩机可按照负载的大小调整制冷或制热的容量。</w:t>
      </w:r>
    </w:p>
    <w:p w14:paraId="491F6E3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（3）基本要求</w:t>
      </w:r>
    </w:p>
    <w:p w14:paraId="5663A1A9">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a.使用380/220V，50Hz，交流电，三相四线制，接地方式TN-S形式，设独立的PE接地线。当电源电压偏差为额定值的±10%时，压缩机应能正常启动和运行。</w:t>
      </w:r>
    </w:p>
    <w:p w14:paraId="1773D72F">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b.多联分体空调机采用知名品牌。室外机组放置于指定室外机机台处，摆放方式为并列摆放；日晒雨淋的条件下正常工作（每日24小时）。</w:t>
      </w:r>
    </w:p>
    <w:p w14:paraId="001E56BD">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c.应注明每台室外机组各类压缩机（变流量或定流量）的数量，并考虑压缩机的轮换运行，延长压缩机的使用寿命。</w:t>
      </w:r>
    </w:p>
    <w:p w14:paraId="4FA66B20">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d.注明室内外机装机容量及容量配比，室外机容量不应小于室内机容量之和的110%。</w:t>
      </w:r>
    </w:p>
    <w:p w14:paraId="54A3D4B2">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e.提供各车站设备配置方案说明并提供室内外机组摆放位置、规格、型号、尺寸及管路连接图。</w:t>
      </w:r>
    </w:p>
    <w:p w14:paraId="4B6B65E0">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f.冷媒管长极限尺寸：实际长度应为150m，最远端室内机与最近端室内机长度差40m，室内、外机高低差50m。</w:t>
      </w:r>
    </w:p>
    <w:p w14:paraId="5739A01F">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g.制热和制冷运转时IPLV（C）值达到能效等级2级所对应的值。</w:t>
      </w:r>
    </w:p>
    <w:p w14:paraId="211EC9A3">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h.室内机采用低噪音风机。室内机高速运转时噪音不大于45dB（A），室外机噪音小于60dB（A）。</w:t>
      </w:r>
    </w:p>
    <w:p w14:paraId="737E8CD2">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i.室内机根据应带有冷凝水提升泵，并提供功率，注明提升高度（范围250～500mm），能避免冷凝水回流。室内机排出的冷凝水，集中排放。</w:t>
      </w:r>
    </w:p>
    <w:p w14:paraId="265A28A1">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j.每台室内机均有线控器，对各室内机可进行状态控制。当室内机任意单元发生故障时不影响其他室内单元的正常工作；室内控制器必须采用中文界面，并操作简便。</w:t>
      </w:r>
    </w:p>
    <w:p w14:paraId="37127143">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k.空调室外机具有良好的防尘、防雨、防腐和安全防护性能（高压开关、风扇电机安全温控器、过载保护器、过电流继电器、易熔塞）。</w:t>
      </w:r>
    </w:p>
    <w:p w14:paraId="013F4C52">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l.室外机组在运行过程中能量输出可实现在10%～100%之间能量调节。</w:t>
      </w:r>
    </w:p>
    <w:p w14:paraId="66E41160">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m.提供夏季标准制冷工况：EER值，冬季标准制热工况：EER值。</w:t>
      </w:r>
    </w:p>
    <w:p w14:paraId="5B485093">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n.压缩机有良好的润滑保障。</w:t>
      </w:r>
    </w:p>
    <w:p w14:paraId="2254D299">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o.系统具有制冷剂泄漏保护功能。</w:t>
      </w:r>
    </w:p>
    <w:p w14:paraId="04F6AAEE">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p.压缩机出现故障时可互为备用。</w:t>
      </w:r>
    </w:p>
    <w:p w14:paraId="656B1276">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q.投标人应提供详细的机组采用的回油方案，并能保证压缩机的长期稳定运行。</w:t>
      </w:r>
    </w:p>
    <w:p w14:paraId="4B6B90EB">
      <w:pPr>
        <w:tabs>
          <w:tab w:val="left" w:pos="0"/>
        </w:tabs>
        <w:snapToGrid w:val="0"/>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r.在供电系统突然断电的情况下，设备具有来电自动重新启动的功能（维持断电前的运行状态参数）和断电保护功能。</w:t>
      </w:r>
    </w:p>
    <w:p w14:paraId="11ECF405">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63" w:name="_Toc31009"/>
      <w:r>
        <w:rPr>
          <w:rFonts w:hint="eastAsia" w:ascii="宋体" w:hAnsi="宋体" w:eastAsia="宋体" w:cs="宋体"/>
          <w:b/>
          <w:bCs/>
          <w:color w:val="auto"/>
          <w:sz w:val="24"/>
          <w:szCs w:val="24"/>
          <w:highlight w:val="none"/>
          <w:lang w:eastAsia="zh-CN"/>
        </w:rPr>
        <w:t>9.</w:t>
      </w:r>
      <w:r>
        <w:rPr>
          <w:rFonts w:hint="eastAsia" w:ascii="宋体" w:hAnsi="宋体" w:eastAsia="宋体" w:cs="宋体"/>
          <w:b/>
          <w:bCs/>
          <w:color w:val="auto"/>
          <w:sz w:val="24"/>
          <w:szCs w:val="24"/>
          <w:highlight w:val="none"/>
        </w:rPr>
        <w:t>冷、热水循环泵</w:t>
      </w:r>
      <w:bookmarkEnd w:id="163"/>
    </w:p>
    <w:p w14:paraId="71637F09">
      <w:pPr>
        <w:spacing w:line="360" w:lineRule="auto"/>
        <w:ind w:firstLine="120" w:firstLineChars="50"/>
        <w:rPr>
          <w:rFonts w:hint="eastAsia" w:ascii="宋体" w:hAnsi="宋体" w:eastAsia="宋体" w:cs="宋体"/>
          <w:color w:val="auto"/>
          <w:sz w:val="24"/>
          <w:szCs w:val="24"/>
          <w:highlight w:val="none"/>
        </w:rPr>
      </w:pPr>
      <w:bookmarkStart w:id="164" w:name="_Toc324264466"/>
      <w:bookmarkStart w:id="165" w:name="_Toc325976840"/>
      <w:r>
        <w:rPr>
          <w:rFonts w:hint="eastAsia" w:ascii="宋体" w:hAnsi="宋体" w:eastAsia="宋体" w:cs="宋体"/>
          <w:color w:val="auto"/>
          <w:sz w:val="24"/>
          <w:szCs w:val="24"/>
          <w:highlight w:val="none"/>
        </w:rPr>
        <w:t>1）产品性能应满足以下条件：</w:t>
      </w:r>
    </w:p>
    <w:p w14:paraId="05315845">
      <w:pPr>
        <w:tabs>
          <w:tab w:val="left" w:pos="993"/>
        </w:tabs>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a.</w:t>
      </w:r>
      <w:r>
        <w:rPr>
          <w:rFonts w:hint="eastAsia" w:ascii="宋体" w:hAnsi="宋体" w:eastAsia="宋体" w:cs="宋体"/>
          <w:color w:val="auto"/>
          <w:sz w:val="24"/>
          <w:szCs w:val="24"/>
          <w:highlight w:val="none"/>
        </w:rPr>
        <w:t>非特殊注明情况下，无流量时的水泵压头应比设计压头高约20%。</w:t>
      </w:r>
    </w:p>
    <w:p w14:paraId="691A8F81">
      <w:pPr>
        <w:tabs>
          <w:tab w:val="left" w:pos="993"/>
        </w:tabs>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b.</w:t>
      </w:r>
      <w:r>
        <w:rPr>
          <w:rFonts w:hint="eastAsia" w:ascii="宋体" w:hAnsi="宋体" w:eastAsia="宋体" w:cs="宋体"/>
          <w:color w:val="auto"/>
          <w:sz w:val="24"/>
          <w:szCs w:val="24"/>
          <w:highlight w:val="none"/>
        </w:rPr>
        <w:t>水泵运行工况点的效率应较高，并在稳定区内。</w:t>
      </w:r>
    </w:p>
    <w:p w14:paraId="0DD544C2">
      <w:pPr>
        <w:tabs>
          <w:tab w:val="left" w:pos="993"/>
        </w:tabs>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c.</w:t>
      </w:r>
      <w:r>
        <w:rPr>
          <w:rFonts w:hint="eastAsia" w:ascii="宋体" w:hAnsi="宋体" w:eastAsia="宋体" w:cs="宋体"/>
          <w:color w:val="auto"/>
          <w:sz w:val="24"/>
          <w:szCs w:val="24"/>
          <w:highlight w:val="none"/>
        </w:rPr>
        <w:t>当工况运行在超过设计流量30%的情况下，水泵运行仍不超过稳定破坏点。</w:t>
      </w:r>
    </w:p>
    <w:p w14:paraId="419C82D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2）每台水泵应合理配备电动机，以保证水泵正常运行。地面安装的电机防护等级满足环境条件要求且不低于IP54，空调采暖循环泵能效等级不低于2级。</w:t>
      </w:r>
    </w:p>
    <w:p w14:paraId="41DCDE3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3）所有水泵组件包括电动机、联轴器（如有）、底座、安全罩等应由同一厂家配套组装，并附有原厂的质量合格证、质量保证书及安装检测（含动态平衡测试）报告。</w:t>
      </w:r>
    </w:p>
    <w:p w14:paraId="6003D45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4）所有水泵的密封均采用机械密封。</w:t>
      </w:r>
    </w:p>
    <w:p w14:paraId="653FC6D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5）水泵成套设备的噪声、振动及各项技术指标，应符合现行的国家及行业制造标准规定的水泵的噪声和振动指标要求。</w:t>
      </w:r>
    </w:p>
    <w:bookmarkEnd w:id="164"/>
    <w:bookmarkEnd w:id="165"/>
    <w:p w14:paraId="1300A41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所有外露和与水接触金属表面除不锈钢和黄铜、青铜材质外均需有附着牢靠的防腐表面处理，包括电镀、电泳或环氧树脂喷涂等处理方式，并在项目供货时随设备配套相同表面处理颜色的自喷漆用于修补运输及安装过程中的局部表面防腐破损。所有生产工艺中的防腐处理工艺应满足国家和当地的环保要求。</w:t>
      </w:r>
    </w:p>
    <w:p w14:paraId="523809A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7）减振及降噪的技术要求：中标人应根据采购人的需求、现场安装条件及所提供设备的特点提供建议的减震基础形式和相应的现场安装指导工作。</w:t>
      </w:r>
    </w:p>
    <w:p w14:paraId="32D50F9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8）设备配套控制箱内元器件需按照下述各类产品详细技术要求配置，其中电气保护元件应包括短路、过载、缺相等保护功能。</w:t>
      </w:r>
    </w:p>
    <w:p w14:paraId="70AF2B97">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66" w:name="_Toc32650"/>
      <w:r>
        <w:rPr>
          <w:rFonts w:hint="eastAsia" w:ascii="宋体" w:hAnsi="宋体" w:eastAsia="宋体" w:cs="宋体"/>
          <w:b/>
          <w:bCs/>
          <w:color w:val="auto"/>
          <w:sz w:val="24"/>
          <w:szCs w:val="24"/>
          <w:highlight w:val="none"/>
          <w:lang w:eastAsia="zh-CN"/>
        </w:rPr>
        <w:t>10.</w:t>
      </w:r>
      <w:r>
        <w:rPr>
          <w:rFonts w:hint="eastAsia" w:ascii="宋体" w:hAnsi="宋体" w:eastAsia="宋体" w:cs="宋体"/>
          <w:b/>
          <w:bCs/>
          <w:color w:val="auto"/>
          <w:sz w:val="24"/>
          <w:szCs w:val="24"/>
          <w:highlight w:val="none"/>
        </w:rPr>
        <w:t>方形横流冷却塔</w:t>
      </w:r>
      <w:bookmarkEnd w:id="166"/>
    </w:p>
    <w:p w14:paraId="0D593967">
      <w:pPr>
        <w:widowControl/>
        <w:numPr>
          <w:ilvl w:val="4"/>
          <w:numId w:val="0"/>
        </w:numPr>
        <w:autoSpaceDE w:val="0"/>
        <w:autoSpaceDN w:val="0"/>
        <w:adjustRightInd w:val="0"/>
        <w:spacing w:line="360" w:lineRule="auto"/>
        <w:ind w:firstLine="120" w:firstLineChars="5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10.1</w:t>
      </w:r>
      <w:bookmarkStart w:id="167" w:name="OLE_LINK3"/>
      <w:r>
        <w:rPr>
          <w:rFonts w:hint="eastAsia" w:ascii="宋体" w:hAnsi="宋体" w:eastAsia="宋体" w:cs="宋体"/>
          <w:color w:val="auto"/>
          <w:kern w:val="0"/>
          <w:sz w:val="24"/>
          <w:szCs w:val="24"/>
          <w:highlight w:val="none"/>
        </w:rPr>
        <w:t>、冷却塔选型产品型号必须通过基于冷却塔技术协会最新热工性能STD-201标准的CTI认证，投标时投标人提供冷却塔的“CTI认证证书”；冷却塔的规格型号必需为“CTI网站”上公布的规格型号。</w:t>
      </w:r>
    </w:p>
    <w:bookmarkEnd w:id="167"/>
    <w:p w14:paraId="4D22D550">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10.2、冷却塔设备清单及技术参数</w:t>
      </w:r>
    </w:p>
    <w:p w14:paraId="382D17FF">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10.2.1</w:t>
      </w:r>
      <w:bookmarkStart w:id="168" w:name="_Toc18078220"/>
      <w:r>
        <w:rPr>
          <w:rFonts w:hint="eastAsia" w:ascii="宋体" w:hAnsi="宋体" w:eastAsia="宋体" w:cs="宋体"/>
          <w:color w:val="auto"/>
          <w:sz w:val="24"/>
          <w:szCs w:val="24"/>
          <w:highlight w:val="none"/>
        </w:rPr>
        <w:t>、产品标准和规范</w:t>
      </w:r>
      <w:bookmarkEnd w:id="168"/>
    </w:p>
    <w:p w14:paraId="6F5AB800">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（1）冷却塔设计制造必须符合国家相关技术法规标准的要求。</w:t>
      </w:r>
    </w:p>
    <w:p w14:paraId="7C7D7937">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（2）设备的设计、加工制造、材料、检验、试验、配置的电机等应参照适合于该项目的相关标准、试验规范，以及技术规格书规定的有关要求。所有计量仪器必须符合国家法定计量标准。</w:t>
      </w:r>
      <w:bookmarkStart w:id="169" w:name="_Toc18078221"/>
    </w:p>
    <w:p w14:paraId="56FCB7F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（3）设计使用寿命</w:t>
      </w:r>
      <w:bookmarkEnd w:id="169"/>
    </w:p>
    <w:p w14:paraId="2CC8711D">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应按技术规格书要求设计、制造设备，提供的材料及设备适用于每天连续工作24小时，除了像密封件、易损件等一类消耗项目外，所有部件都应具有连续长期使用的寿命；此设备应易于检验、清洗。</w:t>
      </w:r>
    </w:p>
    <w:p w14:paraId="662CC53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bookmarkStart w:id="170" w:name="_Toc18078222"/>
      <w:r>
        <w:rPr>
          <w:rFonts w:hint="eastAsia" w:ascii="宋体" w:hAnsi="宋体" w:eastAsia="宋体" w:cs="宋体"/>
          <w:color w:val="auto"/>
          <w:sz w:val="24"/>
          <w:szCs w:val="24"/>
          <w:highlight w:val="none"/>
        </w:rPr>
        <w:t>10.2.2、主要技术参数与要求</w:t>
      </w:r>
      <w:bookmarkEnd w:id="170"/>
      <w:r>
        <w:rPr>
          <w:rFonts w:hint="eastAsia" w:ascii="宋体" w:hAnsi="宋体" w:eastAsia="宋体" w:cs="宋体"/>
          <w:color w:val="auto"/>
          <w:sz w:val="24"/>
          <w:szCs w:val="24"/>
          <w:highlight w:val="none"/>
        </w:rPr>
        <w:t xml:space="preserve"> </w:t>
      </w:r>
    </w:p>
    <w:p w14:paraId="33F8BD8F">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（1）塔体外壳：塔体侧板为Z700重镀锌钢材质。</w:t>
      </w:r>
    </w:p>
    <w:p w14:paraId="17FCC491">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（2）塔体骨架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塔体采用钢框架、材质为优质重镀锌钢，符合国家标准。</w:t>
      </w:r>
    </w:p>
    <w:p w14:paraId="4501948E">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1）热浸镀锌达到Z700标准（每平方米钢板镀锌重量不小于700g），不接受冷镀锌或油漆防腐。</w:t>
      </w:r>
    </w:p>
    <w:p w14:paraId="3CCCC8A8">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2）塔体框架结构应保证塔体在安装、运行后的稳定性，符合当地区的抗风、抗震要求：抗风载荷：150 kgf/m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w:t>
      </w:r>
    </w:p>
    <w:p w14:paraId="3AB83C2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（3）风筒：风筒为优质重镀锌钢材质制造。</w:t>
      </w:r>
    </w:p>
    <w:p w14:paraId="055CB93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1）上部风筒应配合风机和电机安装位置设计，风筒上应设置热镀锌钢网，防止异物坠落，保护电机和风机。冷却塔风筒为下沉式，杜绝风短路而对冷却塔降温性能的影响。</w:t>
      </w:r>
    </w:p>
    <w:p w14:paraId="23FBF376">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（4）塔体连接方式：整塔采用螺栓连接，不允许现场焊接。塔体结构连接螺栓采用达克罗。</w:t>
      </w:r>
    </w:p>
    <w:p w14:paraId="57346C50">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（5）塔顶平台：塔顶配置有Z700热浸镀锌钢材质的检修平台，有足够强度，满足安装检修要求。</w:t>
      </w:r>
    </w:p>
    <w:p w14:paraId="6A8BA2FF">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检修配置：为了便于塔体的维护检修，冷却塔必须配置检修门及门梯；塔内设置检修走道及塔内检修爬梯；配置能到塔顶的爬梯及安全护笼；塔顶检修平台四周设置高度不低于1.2m的镀锌钢护栏，护栏底部应有踢脚板。</w:t>
      </w:r>
    </w:p>
    <w:p w14:paraId="6F0F194A">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（7）电机：防水性能好，符合I.E.C相关标准。电源条件为380V/50Hz，防护等级为IP55，绝缘等级F级。</w:t>
      </w:r>
    </w:p>
    <w:p w14:paraId="5A1C010A">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风机：风机应采用高效率、高强度、低噪音轴流式风机，风机叶片材料为铝合金，叶片数量为8叶。要求强度可靠，表面光洁，各截面过渡均匀、无裂纹、缺口、毛刺、气泡等缺陷，正常使用寿命要求大于15年。风机正常时应在高效率区段工作。</w:t>
      </w:r>
    </w:p>
    <w:p w14:paraId="2633B1E5">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填料：填料采用优质改性PVC真空吸塑成型，再生料将不被接受（提供相关的材质证明文件），填料基片厚度不小于0.32mm，采用梯形波填料，水在填料表面停留时间长，呈水膜状流动，热交换均匀，噪音低，填料本身设计有收水结构，漂水率不大于0.0005%。阻燃氧指数不小于40%。冷却塔填料采用三合一蜂窝悬挂式自带收水功能填料。可在50度下水温可长期稳定工作，65度水温不</w:t>
      </w:r>
      <w:r>
        <w:rPr>
          <w:rFonts w:hint="eastAsia" w:ascii="宋体" w:hAnsi="宋体" w:eastAsia="宋体" w:cs="宋体"/>
          <w:color w:val="auto"/>
          <w:sz w:val="24"/>
          <w:szCs w:val="24"/>
          <w:highlight w:val="none"/>
          <w:lang w:eastAsia="zh-CN"/>
        </w:rPr>
        <w:t>变形</w:t>
      </w:r>
      <w:r>
        <w:rPr>
          <w:rFonts w:hint="eastAsia" w:ascii="宋体" w:hAnsi="宋体" w:eastAsia="宋体" w:cs="宋体"/>
          <w:color w:val="auto"/>
          <w:sz w:val="24"/>
          <w:szCs w:val="24"/>
          <w:highlight w:val="none"/>
        </w:rPr>
        <w:t>。设计寿命大于15年。填料采用悬挂式安装，填料底部悬空，以防止藻类物质和细菌的生长。</w:t>
      </w:r>
    </w:p>
    <w:p w14:paraId="1416A624">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（10）重力布水池：布水池采用Z700热浸镀锌材质制造，并配有Z700热浸镀锌材质布水池盖板，防止水的污染以及异物进入布水池而</w:t>
      </w:r>
      <w:r>
        <w:rPr>
          <w:rFonts w:hint="eastAsia" w:ascii="宋体" w:hAnsi="宋体" w:eastAsia="宋体" w:cs="宋体"/>
          <w:color w:val="auto"/>
          <w:sz w:val="24"/>
          <w:szCs w:val="24"/>
          <w:highlight w:val="none"/>
          <w:lang w:eastAsia="zh-CN"/>
        </w:rPr>
        <w:t>堵塞</w:t>
      </w:r>
      <w:r>
        <w:rPr>
          <w:rFonts w:hint="eastAsia" w:ascii="宋体" w:hAnsi="宋体" w:eastAsia="宋体" w:cs="宋体"/>
          <w:color w:val="auto"/>
          <w:sz w:val="24"/>
          <w:szCs w:val="24"/>
          <w:highlight w:val="none"/>
        </w:rPr>
        <w:t>喷头，同时避免阳光直射，抑制布水池内藻类植物生长同时可阻断塔内淋水噪声的传播，减少淋水噪声。</w:t>
      </w:r>
    </w:p>
    <w:p w14:paraId="25FFC10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（11）布水系统：采用变流量喷头，变流量范围为30%-100%，冷却水经过喷头后均匀布洒在填料顶部，选用的喷头应为大口径ABS变径花瓣式，不堵塞，内部无活动件，免维护时间长，正常使用寿命应大于15年。</w:t>
      </w:r>
    </w:p>
    <w:p w14:paraId="740AB20A">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储水盘：储水盘采用700热浸镀锌材质或FRP材质制造，水盆储水量不低于额定循环流量的1.1%，不受季节变化影响。储水盆在贮水后应无渗漏现象。储水盆的容水量及高度应保证在启动冷却泵后不出现水被抽空现象及停泵后不出现大量水溢流现象。两台或多塔并联使用时，储水盘需完全隔断满足独立运行需求，并在储水盆上设有安装连通管的法兰。</w:t>
      </w:r>
    </w:p>
    <w:p w14:paraId="0FCFE089">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（13）整体性能要求</w:t>
      </w:r>
    </w:p>
    <w:p w14:paraId="132B7DD4">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a.在电压正常波动范围内能正常启动和运转，机组在使用现场组装后，应进行检查和试运转。 </w:t>
      </w:r>
    </w:p>
    <w:p w14:paraId="2F2317A3">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b.应提供根据热力测试资料计算的热力性能曲线，供在非标准设计工况时确定冷却塔的有关参数。 </w:t>
      </w:r>
    </w:p>
    <w:p w14:paraId="183D3C7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c.热力性能必须≥100%。</w:t>
      </w:r>
    </w:p>
    <w:p w14:paraId="4E95EEC8">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d.冷却塔根据标准GB/T 7190.1-2018 [机械通风冷却塔第1部分：中小型开式冷却塔]附录E的测试方法，不超过GB/T 7190.1-2018能效指标中2级能效指标，即耗电比≤0.030kW/（m3/h）。</w:t>
      </w:r>
    </w:p>
    <w:p w14:paraId="3559DDB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e.除了部分转动部件在正常寿命期间更换外，其余的材料和部件应在正常情况下运行不少于15年。 </w:t>
      </w:r>
    </w:p>
    <w:p w14:paraId="74B6CEA1">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f.性能试验方法应按GB/T 7190.1-2018 [机械通风冷却塔第1部分：中小型开式冷却塔]中有关条款进行。</w:t>
      </w:r>
    </w:p>
    <w:p w14:paraId="195D207A">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g.应控制冷却塔的漂水率，配置的收水系统应具有高收水效率和低空气阻力，漂水率应小于0.0005%。</w:t>
      </w:r>
    </w:p>
    <w:p w14:paraId="50C4FC11">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（14）其他要求</w:t>
      </w:r>
    </w:p>
    <w:p w14:paraId="6EA4E3E8">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1）采用现场安装方式，设计时应考虑便于运输及安装。整塔采用螺栓连接，不允许现场焊接。</w:t>
      </w:r>
    </w:p>
    <w:p w14:paraId="56466028">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2）提供冷却塔对水质的要求，阐述不同水质对冷却效果和冷却塔寿命的影响以及冷却水保养具体措施。</w:t>
      </w:r>
    </w:p>
    <w:p w14:paraId="4DA5E8F3">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（15）参数</w:t>
      </w:r>
    </w:p>
    <w:tbl>
      <w:tblPr>
        <w:tblStyle w:val="19"/>
        <w:tblW w:w="47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767"/>
        <w:gridCol w:w="3323"/>
        <w:gridCol w:w="5063"/>
      </w:tblGrid>
      <w:tr w14:paraId="3BDE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4B848248">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序号</w:t>
            </w:r>
          </w:p>
        </w:tc>
        <w:tc>
          <w:tcPr>
            <w:tcW w:w="2021" w:type="pct"/>
            <w:gridSpan w:val="2"/>
            <w:noWrap w:val="0"/>
            <w:vAlign w:val="center"/>
          </w:tcPr>
          <w:p w14:paraId="0010C276">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技 术 内 容</w:t>
            </w:r>
          </w:p>
        </w:tc>
        <w:tc>
          <w:tcPr>
            <w:tcW w:w="2501" w:type="pct"/>
            <w:noWrap w:val="0"/>
            <w:vAlign w:val="center"/>
          </w:tcPr>
          <w:p w14:paraId="63A2B9FD">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参数</w:t>
            </w:r>
          </w:p>
        </w:tc>
      </w:tr>
      <w:tr w14:paraId="49B8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700D6BC4">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w:t>
            </w:r>
          </w:p>
        </w:tc>
        <w:tc>
          <w:tcPr>
            <w:tcW w:w="2021" w:type="pct"/>
            <w:gridSpan w:val="2"/>
            <w:noWrap w:val="0"/>
            <w:vAlign w:val="center"/>
          </w:tcPr>
          <w:p w14:paraId="77E54064">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冷却塔类型</w:t>
            </w:r>
          </w:p>
        </w:tc>
        <w:tc>
          <w:tcPr>
            <w:tcW w:w="2501" w:type="pct"/>
            <w:noWrap w:val="0"/>
            <w:vAlign w:val="center"/>
          </w:tcPr>
          <w:p w14:paraId="14DB3DED">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sz w:val="24"/>
                <w:szCs w:val="24"/>
                <w:highlight w:val="none"/>
              </w:rPr>
              <w:t>方形横流超低噪音冷却塔（开式）</w:t>
            </w:r>
          </w:p>
        </w:tc>
      </w:tr>
      <w:tr w14:paraId="6FC9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1A83FE2D">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w:t>
            </w:r>
          </w:p>
        </w:tc>
        <w:tc>
          <w:tcPr>
            <w:tcW w:w="2021" w:type="pct"/>
            <w:gridSpan w:val="2"/>
            <w:noWrap w:val="0"/>
            <w:vAlign w:val="center"/>
          </w:tcPr>
          <w:p w14:paraId="47B8F32C">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流量m</w:t>
            </w:r>
            <w:r>
              <w:rPr>
                <w:rFonts w:hint="eastAsia" w:ascii="宋体" w:hAnsi="宋体" w:eastAsia="宋体" w:cs="宋体"/>
                <w:color w:val="auto"/>
                <w:kern w:val="28"/>
                <w:sz w:val="24"/>
                <w:szCs w:val="24"/>
                <w:highlight w:val="none"/>
                <w:vertAlign w:val="superscript"/>
              </w:rPr>
              <w:t>3</w:t>
            </w:r>
            <w:r>
              <w:rPr>
                <w:rFonts w:hint="eastAsia" w:ascii="宋体" w:hAnsi="宋体" w:eastAsia="宋体" w:cs="宋体"/>
                <w:color w:val="auto"/>
                <w:kern w:val="28"/>
                <w:sz w:val="24"/>
                <w:szCs w:val="24"/>
                <w:highlight w:val="none"/>
              </w:rPr>
              <w:t>/h</w:t>
            </w:r>
          </w:p>
        </w:tc>
        <w:tc>
          <w:tcPr>
            <w:tcW w:w="2501" w:type="pct"/>
            <w:noWrap w:val="0"/>
            <w:vAlign w:val="center"/>
          </w:tcPr>
          <w:p w14:paraId="467A4371">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350m</w:t>
            </w:r>
            <w:r>
              <w:rPr>
                <w:rFonts w:hint="eastAsia" w:ascii="宋体" w:hAnsi="宋体" w:eastAsia="宋体" w:cs="宋体"/>
                <w:color w:val="auto"/>
                <w:kern w:val="28"/>
                <w:sz w:val="24"/>
                <w:szCs w:val="24"/>
                <w:highlight w:val="none"/>
                <w:vertAlign w:val="superscript"/>
              </w:rPr>
              <w:t>3</w:t>
            </w:r>
            <w:r>
              <w:rPr>
                <w:rFonts w:hint="eastAsia" w:ascii="宋体" w:hAnsi="宋体" w:eastAsia="宋体" w:cs="宋体"/>
                <w:color w:val="auto"/>
                <w:kern w:val="28"/>
                <w:sz w:val="24"/>
                <w:szCs w:val="24"/>
                <w:highlight w:val="none"/>
              </w:rPr>
              <w:t>/h</w:t>
            </w:r>
          </w:p>
        </w:tc>
      </w:tr>
      <w:tr w14:paraId="4934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1AAAB3DD">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w:t>
            </w:r>
          </w:p>
        </w:tc>
        <w:tc>
          <w:tcPr>
            <w:tcW w:w="2021" w:type="pct"/>
            <w:gridSpan w:val="2"/>
            <w:noWrap w:val="0"/>
            <w:vAlign w:val="center"/>
          </w:tcPr>
          <w:p w14:paraId="06B128D3">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数量（台）</w:t>
            </w:r>
          </w:p>
        </w:tc>
        <w:tc>
          <w:tcPr>
            <w:tcW w:w="2501" w:type="pct"/>
            <w:noWrap w:val="0"/>
            <w:vAlign w:val="center"/>
          </w:tcPr>
          <w:p w14:paraId="5602C3DC">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1台</w:t>
            </w:r>
          </w:p>
        </w:tc>
      </w:tr>
      <w:tr w14:paraId="6C06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2D9007D6">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4</w:t>
            </w:r>
          </w:p>
        </w:tc>
        <w:tc>
          <w:tcPr>
            <w:tcW w:w="2021" w:type="pct"/>
            <w:gridSpan w:val="2"/>
            <w:noWrap w:val="0"/>
            <w:vAlign w:val="center"/>
          </w:tcPr>
          <w:p w14:paraId="00625F7C">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进水/出水℃</w:t>
            </w:r>
          </w:p>
        </w:tc>
        <w:tc>
          <w:tcPr>
            <w:tcW w:w="2501" w:type="pct"/>
            <w:noWrap w:val="0"/>
            <w:vAlign w:val="center"/>
          </w:tcPr>
          <w:p w14:paraId="1A203CCD">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37℃/32℃</w:t>
            </w:r>
          </w:p>
        </w:tc>
      </w:tr>
      <w:tr w14:paraId="1808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6A396E0C">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5</w:t>
            </w:r>
          </w:p>
        </w:tc>
        <w:tc>
          <w:tcPr>
            <w:tcW w:w="2021" w:type="pct"/>
            <w:gridSpan w:val="2"/>
            <w:noWrap w:val="0"/>
            <w:vAlign w:val="center"/>
          </w:tcPr>
          <w:p w14:paraId="073CC094">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湿球温度℃</w:t>
            </w:r>
          </w:p>
        </w:tc>
        <w:tc>
          <w:tcPr>
            <w:tcW w:w="2501" w:type="pct"/>
            <w:noWrap w:val="0"/>
            <w:vAlign w:val="center"/>
          </w:tcPr>
          <w:p w14:paraId="4506DC67">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28℃</w:t>
            </w:r>
          </w:p>
        </w:tc>
      </w:tr>
      <w:tr w14:paraId="37A5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76" w:type="pct"/>
            <w:noWrap w:val="0"/>
            <w:vAlign w:val="center"/>
          </w:tcPr>
          <w:p w14:paraId="261977C9">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6</w:t>
            </w:r>
          </w:p>
        </w:tc>
        <w:tc>
          <w:tcPr>
            <w:tcW w:w="2021" w:type="pct"/>
            <w:gridSpan w:val="2"/>
            <w:noWrap w:val="0"/>
            <w:vAlign w:val="center"/>
          </w:tcPr>
          <w:p w14:paraId="394EA54C">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机组外形尺寸mm</w:t>
            </w:r>
          </w:p>
          <w:p w14:paraId="3B9FC58B">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（长*宽*高）</w:t>
            </w:r>
          </w:p>
        </w:tc>
        <w:tc>
          <w:tcPr>
            <w:tcW w:w="2501" w:type="pct"/>
            <w:noWrap w:val="0"/>
            <w:vAlign w:val="center"/>
          </w:tcPr>
          <w:p w14:paraId="79541945">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4665*3220*5600mm</w:t>
            </w:r>
          </w:p>
        </w:tc>
      </w:tr>
      <w:tr w14:paraId="2FBC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565134E0">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8</w:t>
            </w:r>
          </w:p>
        </w:tc>
        <w:tc>
          <w:tcPr>
            <w:tcW w:w="2021" w:type="pct"/>
            <w:gridSpan w:val="2"/>
            <w:noWrap w:val="0"/>
            <w:vAlign w:val="center"/>
          </w:tcPr>
          <w:p w14:paraId="1527557D">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飞水损失率</w:t>
            </w:r>
          </w:p>
        </w:tc>
        <w:tc>
          <w:tcPr>
            <w:tcW w:w="2501" w:type="pct"/>
            <w:noWrap w:val="0"/>
            <w:vAlign w:val="center"/>
          </w:tcPr>
          <w:p w14:paraId="726636F9">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≤0.0005%</w:t>
            </w:r>
          </w:p>
        </w:tc>
      </w:tr>
      <w:tr w14:paraId="6F17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53E3B483">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9</w:t>
            </w:r>
          </w:p>
        </w:tc>
        <w:tc>
          <w:tcPr>
            <w:tcW w:w="2021" w:type="pct"/>
            <w:gridSpan w:val="2"/>
            <w:noWrap w:val="0"/>
            <w:vAlign w:val="center"/>
          </w:tcPr>
          <w:p w14:paraId="0120BB31">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蒸发损失率</w:t>
            </w:r>
          </w:p>
        </w:tc>
        <w:tc>
          <w:tcPr>
            <w:tcW w:w="2501" w:type="pct"/>
            <w:noWrap w:val="0"/>
            <w:vAlign w:val="center"/>
          </w:tcPr>
          <w:p w14:paraId="2F37060E">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≤0.83%</w:t>
            </w:r>
          </w:p>
        </w:tc>
      </w:tr>
      <w:tr w14:paraId="6F78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7B20E0D1">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10</w:t>
            </w:r>
          </w:p>
        </w:tc>
        <w:tc>
          <w:tcPr>
            <w:tcW w:w="2021" w:type="pct"/>
            <w:gridSpan w:val="2"/>
            <w:noWrap w:val="0"/>
            <w:vAlign w:val="center"/>
          </w:tcPr>
          <w:p w14:paraId="45516226">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机组使用寿命</w:t>
            </w:r>
          </w:p>
        </w:tc>
        <w:tc>
          <w:tcPr>
            <w:tcW w:w="2501" w:type="pct"/>
            <w:noWrap w:val="0"/>
            <w:vAlign w:val="center"/>
          </w:tcPr>
          <w:p w14:paraId="2F88BE63">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≥15年</w:t>
            </w:r>
          </w:p>
        </w:tc>
      </w:tr>
      <w:tr w14:paraId="404B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76" w:type="pct"/>
            <w:noWrap w:val="0"/>
            <w:vAlign w:val="center"/>
          </w:tcPr>
          <w:p w14:paraId="5EFD38E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11</w:t>
            </w:r>
          </w:p>
        </w:tc>
        <w:tc>
          <w:tcPr>
            <w:tcW w:w="379" w:type="pct"/>
            <w:vMerge w:val="restart"/>
            <w:noWrap w:val="0"/>
            <w:vAlign w:val="center"/>
          </w:tcPr>
          <w:p w14:paraId="30581BAB">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电机</w:t>
            </w:r>
          </w:p>
        </w:tc>
        <w:tc>
          <w:tcPr>
            <w:tcW w:w="1642" w:type="pct"/>
            <w:noWrap w:val="0"/>
            <w:vAlign w:val="center"/>
          </w:tcPr>
          <w:p w14:paraId="3AD8C994">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类型</w:t>
            </w:r>
          </w:p>
        </w:tc>
        <w:tc>
          <w:tcPr>
            <w:tcW w:w="2501" w:type="pct"/>
            <w:noWrap w:val="0"/>
            <w:vAlign w:val="center"/>
          </w:tcPr>
          <w:p w14:paraId="13D13763">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变频电机</w:t>
            </w:r>
          </w:p>
        </w:tc>
      </w:tr>
      <w:tr w14:paraId="3198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7B83E5D0">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12</w:t>
            </w:r>
          </w:p>
        </w:tc>
        <w:tc>
          <w:tcPr>
            <w:tcW w:w="379" w:type="pct"/>
            <w:vMerge w:val="continue"/>
            <w:noWrap w:val="0"/>
            <w:vAlign w:val="center"/>
          </w:tcPr>
          <w:p w14:paraId="209B4135">
            <w:pPr>
              <w:spacing w:after="62" w:afterLines="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086687CA">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供电特性V/ø/Hz</w:t>
            </w:r>
          </w:p>
        </w:tc>
        <w:tc>
          <w:tcPr>
            <w:tcW w:w="2501" w:type="pct"/>
            <w:noWrap w:val="0"/>
            <w:vAlign w:val="center"/>
          </w:tcPr>
          <w:p w14:paraId="374298BB">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380V/3ph/50Hz</w:t>
            </w:r>
          </w:p>
        </w:tc>
      </w:tr>
      <w:tr w14:paraId="3491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72C65E7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13</w:t>
            </w:r>
          </w:p>
        </w:tc>
        <w:tc>
          <w:tcPr>
            <w:tcW w:w="379" w:type="pct"/>
            <w:vMerge w:val="continue"/>
            <w:noWrap w:val="0"/>
            <w:vAlign w:val="center"/>
          </w:tcPr>
          <w:p w14:paraId="0632A12C">
            <w:pPr>
              <w:spacing w:after="62" w:afterLines="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6922DE3D">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电机功率kW</w:t>
            </w:r>
          </w:p>
        </w:tc>
        <w:tc>
          <w:tcPr>
            <w:tcW w:w="2501" w:type="pct"/>
            <w:noWrap w:val="0"/>
            <w:vAlign w:val="center"/>
          </w:tcPr>
          <w:p w14:paraId="33C13748">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≤11kW</w:t>
            </w:r>
          </w:p>
        </w:tc>
      </w:tr>
      <w:tr w14:paraId="72A8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0381B12C">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14</w:t>
            </w:r>
          </w:p>
        </w:tc>
        <w:tc>
          <w:tcPr>
            <w:tcW w:w="379" w:type="pct"/>
            <w:vMerge w:val="continue"/>
            <w:noWrap w:val="0"/>
            <w:vAlign w:val="center"/>
          </w:tcPr>
          <w:p w14:paraId="147B5786">
            <w:pPr>
              <w:spacing w:after="62" w:afterLines="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0B9DD7EB">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耗电比kW/（m</w:t>
            </w:r>
            <w:r>
              <w:rPr>
                <w:rFonts w:hint="eastAsia" w:ascii="宋体" w:hAnsi="宋体" w:eastAsia="宋体" w:cs="宋体"/>
                <w:color w:val="auto"/>
                <w:kern w:val="28"/>
                <w:sz w:val="24"/>
                <w:szCs w:val="24"/>
                <w:highlight w:val="none"/>
                <w:vertAlign w:val="superscript"/>
              </w:rPr>
              <w:t>3</w:t>
            </w:r>
            <w:r>
              <w:rPr>
                <w:rFonts w:hint="eastAsia" w:ascii="宋体" w:hAnsi="宋体" w:eastAsia="宋体" w:cs="宋体"/>
                <w:color w:val="auto"/>
                <w:kern w:val="28"/>
                <w:sz w:val="24"/>
                <w:szCs w:val="24"/>
                <w:highlight w:val="none"/>
              </w:rPr>
              <w:t>/h）</w:t>
            </w:r>
          </w:p>
        </w:tc>
        <w:tc>
          <w:tcPr>
            <w:tcW w:w="2501" w:type="pct"/>
            <w:noWrap w:val="0"/>
            <w:vAlign w:val="center"/>
          </w:tcPr>
          <w:p w14:paraId="53B15EBC">
            <w:pPr>
              <w:spacing w:after="62" w:afterLines="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≤0.030kW/m</w:t>
            </w:r>
            <w:r>
              <w:rPr>
                <w:rFonts w:hint="eastAsia" w:ascii="宋体" w:hAnsi="宋体" w:eastAsia="宋体" w:cs="宋体"/>
                <w:color w:val="auto"/>
                <w:kern w:val="28"/>
                <w:sz w:val="24"/>
                <w:szCs w:val="24"/>
                <w:highlight w:val="none"/>
                <w:vertAlign w:val="superscript"/>
              </w:rPr>
              <w:t>3</w:t>
            </w:r>
            <w:r>
              <w:rPr>
                <w:rFonts w:hint="eastAsia" w:ascii="宋体" w:hAnsi="宋体" w:eastAsia="宋体" w:cs="宋体"/>
                <w:color w:val="auto"/>
                <w:kern w:val="28"/>
                <w:sz w:val="24"/>
                <w:szCs w:val="24"/>
                <w:highlight w:val="none"/>
              </w:rPr>
              <w:t>/h</w:t>
            </w:r>
          </w:p>
        </w:tc>
      </w:tr>
      <w:tr w14:paraId="57E9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476" w:type="pct"/>
            <w:noWrap w:val="0"/>
            <w:vAlign w:val="center"/>
          </w:tcPr>
          <w:p w14:paraId="75145853">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15</w:t>
            </w:r>
          </w:p>
        </w:tc>
        <w:tc>
          <w:tcPr>
            <w:tcW w:w="379" w:type="pct"/>
            <w:vMerge w:val="continue"/>
            <w:noWrap w:val="0"/>
            <w:vAlign w:val="center"/>
          </w:tcPr>
          <w:p w14:paraId="6CE6DF3B">
            <w:pPr>
              <w:spacing w:after="62" w:afterLines="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1375B49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防护等级</w:t>
            </w:r>
          </w:p>
        </w:tc>
        <w:tc>
          <w:tcPr>
            <w:tcW w:w="2501" w:type="pct"/>
            <w:noWrap w:val="0"/>
            <w:vAlign w:val="center"/>
          </w:tcPr>
          <w:p w14:paraId="6454C3A0">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IP55</w:t>
            </w:r>
          </w:p>
        </w:tc>
      </w:tr>
      <w:tr w14:paraId="3815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0E6F30A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16</w:t>
            </w:r>
          </w:p>
        </w:tc>
        <w:tc>
          <w:tcPr>
            <w:tcW w:w="379" w:type="pct"/>
            <w:vMerge w:val="continue"/>
            <w:noWrap w:val="0"/>
            <w:vAlign w:val="center"/>
          </w:tcPr>
          <w:p w14:paraId="50CF3957">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7ED39E7D">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绝缘等级</w:t>
            </w:r>
          </w:p>
        </w:tc>
        <w:tc>
          <w:tcPr>
            <w:tcW w:w="2501" w:type="pct"/>
            <w:noWrap w:val="0"/>
            <w:vAlign w:val="center"/>
          </w:tcPr>
          <w:p w14:paraId="1BCDEA08">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F级</w:t>
            </w:r>
          </w:p>
        </w:tc>
      </w:tr>
      <w:tr w14:paraId="4307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011AD975">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17</w:t>
            </w:r>
          </w:p>
        </w:tc>
        <w:tc>
          <w:tcPr>
            <w:tcW w:w="379" w:type="pct"/>
            <w:vMerge w:val="continue"/>
            <w:noWrap w:val="0"/>
            <w:vAlign w:val="center"/>
          </w:tcPr>
          <w:p w14:paraId="1416BED2">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0505EF6C">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启动方式</w:t>
            </w:r>
          </w:p>
        </w:tc>
        <w:tc>
          <w:tcPr>
            <w:tcW w:w="2501" w:type="pct"/>
            <w:noWrap w:val="0"/>
            <w:vAlign w:val="center"/>
          </w:tcPr>
          <w:p w14:paraId="18F05465">
            <w:pPr>
              <w:spacing w:after="20" w:line="360" w:lineRule="auto"/>
              <w:ind w:firstLine="120" w:firstLineChars="50"/>
              <w:jc w:val="center"/>
              <w:rPr>
                <w:rFonts w:hint="eastAsia" w:ascii="宋体" w:hAnsi="宋体" w:eastAsia="宋体" w:cs="宋体"/>
                <w:color w:val="auto"/>
                <w:kern w:val="28"/>
                <w:sz w:val="24"/>
                <w:szCs w:val="24"/>
                <w:highlight w:val="none"/>
              </w:rPr>
            </w:pPr>
          </w:p>
        </w:tc>
      </w:tr>
      <w:tr w14:paraId="10A0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76" w:type="pct"/>
            <w:noWrap w:val="0"/>
            <w:vAlign w:val="center"/>
          </w:tcPr>
          <w:p w14:paraId="01C5FF5D">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18</w:t>
            </w:r>
          </w:p>
        </w:tc>
        <w:tc>
          <w:tcPr>
            <w:tcW w:w="379" w:type="pct"/>
            <w:vMerge w:val="restart"/>
            <w:noWrap w:val="0"/>
            <w:vAlign w:val="center"/>
          </w:tcPr>
          <w:p w14:paraId="55311689">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风机</w:t>
            </w:r>
          </w:p>
        </w:tc>
        <w:tc>
          <w:tcPr>
            <w:tcW w:w="1642" w:type="pct"/>
            <w:noWrap w:val="0"/>
            <w:vAlign w:val="center"/>
          </w:tcPr>
          <w:p w14:paraId="4A20BB10">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品牌/生产商</w:t>
            </w:r>
          </w:p>
        </w:tc>
        <w:tc>
          <w:tcPr>
            <w:tcW w:w="2501" w:type="pct"/>
            <w:noWrap w:val="0"/>
            <w:vAlign w:val="center"/>
          </w:tcPr>
          <w:p w14:paraId="1DD7B984">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可风可、豪顿、克莱特菲尔、意维</w:t>
            </w:r>
          </w:p>
        </w:tc>
      </w:tr>
      <w:tr w14:paraId="318F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6052FE43">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19</w:t>
            </w:r>
          </w:p>
        </w:tc>
        <w:tc>
          <w:tcPr>
            <w:tcW w:w="379" w:type="pct"/>
            <w:vMerge w:val="continue"/>
            <w:noWrap w:val="0"/>
            <w:vAlign w:val="center"/>
          </w:tcPr>
          <w:p w14:paraId="3EEF083C">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4A5A704E">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风扇形式</w:t>
            </w:r>
          </w:p>
        </w:tc>
        <w:tc>
          <w:tcPr>
            <w:tcW w:w="2501" w:type="pct"/>
            <w:noWrap w:val="0"/>
            <w:vAlign w:val="center"/>
          </w:tcPr>
          <w:p w14:paraId="34EC63CB">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轴流式</w:t>
            </w:r>
          </w:p>
        </w:tc>
      </w:tr>
      <w:tr w14:paraId="438B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18044F9B">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20</w:t>
            </w:r>
          </w:p>
        </w:tc>
        <w:tc>
          <w:tcPr>
            <w:tcW w:w="379" w:type="pct"/>
            <w:vMerge w:val="continue"/>
            <w:noWrap w:val="0"/>
            <w:vAlign w:val="center"/>
          </w:tcPr>
          <w:p w14:paraId="2614D0F4">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68FE0468">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驱动方式</w:t>
            </w:r>
          </w:p>
        </w:tc>
        <w:tc>
          <w:tcPr>
            <w:tcW w:w="2501" w:type="pct"/>
            <w:noWrap w:val="0"/>
            <w:vAlign w:val="center"/>
          </w:tcPr>
          <w:p w14:paraId="4BBF1F31">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皮带驱动</w:t>
            </w:r>
          </w:p>
        </w:tc>
      </w:tr>
      <w:tr w14:paraId="08C4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1701BEF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21</w:t>
            </w:r>
          </w:p>
        </w:tc>
        <w:tc>
          <w:tcPr>
            <w:tcW w:w="379" w:type="pct"/>
            <w:vMerge w:val="continue"/>
            <w:noWrap w:val="0"/>
            <w:vAlign w:val="center"/>
          </w:tcPr>
          <w:p w14:paraId="5EEA65C0">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7B623FAF">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风扇数量（套）</w:t>
            </w:r>
          </w:p>
        </w:tc>
        <w:tc>
          <w:tcPr>
            <w:tcW w:w="2501" w:type="pct"/>
            <w:noWrap w:val="0"/>
            <w:vAlign w:val="center"/>
          </w:tcPr>
          <w:p w14:paraId="1091ABC3">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8叶</w:t>
            </w:r>
          </w:p>
        </w:tc>
      </w:tr>
      <w:tr w14:paraId="712F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09DABA1F">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22</w:t>
            </w:r>
          </w:p>
        </w:tc>
        <w:tc>
          <w:tcPr>
            <w:tcW w:w="379" w:type="pct"/>
            <w:vMerge w:val="continue"/>
            <w:noWrap w:val="0"/>
            <w:vAlign w:val="center"/>
          </w:tcPr>
          <w:p w14:paraId="6D39A95E">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37985FAC">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叶片材质</w:t>
            </w:r>
          </w:p>
        </w:tc>
        <w:tc>
          <w:tcPr>
            <w:tcW w:w="2501" w:type="pct"/>
            <w:noWrap w:val="0"/>
            <w:vAlign w:val="center"/>
          </w:tcPr>
          <w:p w14:paraId="4892917E">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铝合金</w:t>
            </w:r>
          </w:p>
        </w:tc>
      </w:tr>
      <w:tr w14:paraId="7526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34AFAE83">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23</w:t>
            </w:r>
          </w:p>
        </w:tc>
        <w:tc>
          <w:tcPr>
            <w:tcW w:w="379" w:type="pct"/>
            <w:vMerge w:val="restart"/>
            <w:noWrap w:val="0"/>
            <w:vAlign w:val="center"/>
          </w:tcPr>
          <w:p w14:paraId="166BA8DD">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塔体</w:t>
            </w:r>
          </w:p>
        </w:tc>
        <w:tc>
          <w:tcPr>
            <w:tcW w:w="1642" w:type="pct"/>
            <w:noWrap w:val="0"/>
            <w:vAlign w:val="center"/>
          </w:tcPr>
          <w:p w14:paraId="5C9CEC7E">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框架</w:t>
            </w:r>
          </w:p>
        </w:tc>
        <w:tc>
          <w:tcPr>
            <w:tcW w:w="2501" w:type="pct"/>
            <w:noWrap w:val="0"/>
            <w:vAlign w:val="center"/>
          </w:tcPr>
          <w:p w14:paraId="2114187D">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Z700镀锌钢</w:t>
            </w:r>
          </w:p>
        </w:tc>
      </w:tr>
      <w:tr w14:paraId="164D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37FBB77D">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24</w:t>
            </w:r>
          </w:p>
        </w:tc>
        <w:tc>
          <w:tcPr>
            <w:tcW w:w="379" w:type="pct"/>
            <w:vMerge w:val="continue"/>
            <w:noWrap w:val="0"/>
            <w:vAlign w:val="center"/>
          </w:tcPr>
          <w:p w14:paraId="2C0C5D64">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41F08878">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外壳</w:t>
            </w:r>
          </w:p>
        </w:tc>
        <w:tc>
          <w:tcPr>
            <w:tcW w:w="2501" w:type="pct"/>
            <w:noWrap w:val="0"/>
            <w:vAlign w:val="center"/>
          </w:tcPr>
          <w:p w14:paraId="4E5B5181">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Z700玻璃钢</w:t>
            </w:r>
          </w:p>
        </w:tc>
      </w:tr>
      <w:tr w14:paraId="3F1B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6FD840D0">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25</w:t>
            </w:r>
          </w:p>
        </w:tc>
        <w:tc>
          <w:tcPr>
            <w:tcW w:w="379" w:type="pct"/>
            <w:vMerge w:val="continue"/>
            <w:noWrap w:val="0"/>
            <w:vAlign w:val="center"/>
          </w:tcPr>
          <w:p w14:paraId="25D84F17">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254E3442">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风筒</w:t>
            </w:r>
          </w:p>
        </w:tc>
        <w:tc>
          <w:tcPr>
            <w:tcW w:w="2501" w:type="pct"/>
            <w:noWrap w:val="0"/>
            <w:vAlign w:val="center"/>
          </w:tcPr>
          <w:p w14:paraId="7B372A4D">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Z700重镀锌钢</w:t>
            </w:r>
          </w:p>
        </w:tc>
      </w:tr>
      <w:tr w14:paraId="503D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51D7E566">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26</w:t>
            </w:r>
          </w:p>
        </w:tc>
        <w:tc>
          <w:tcPr>
            <w:tcW w:w="379" w:type="pct"/>
            <w:vMerge w:val="continue"/>
            <w:noWrap w:val="0"/>
            <w:vAlign w:val="center"/>
          </w:tcPr>
          <w:p w14:paraId="7C88C0F4">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2D2A4B09">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集水盘</w:t>
            </w:r>
          </w:p>
        </w:tc>
        <w:tc>
          <w:tcPr>
            <w:tcW w:w="2501" w:type="pct"/>
            <w:noWrap w:val="0"/>
            <w:vAlign w:val="center"/>
          </w:tcPr>
          <w:p w14:paraId="57ED1C2F">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Z700重镀锌钢/FRP</w:t>
            </w:r>
          </w:p>
        </w:tc>
      </w:tr>
      <w:tr w14:paraId="3A8E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70A9CA08">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27</w:t>
            </w:r>
          </w:p>
        </w:tc>
        <w:tc>
          <w:tcPr>
            <w:tcW w:w="379" w:type="pct"/>
            <w:vMerge w:val="continue"/>
            <w:noWrap w:val="0"/>
            <w:vAlign w:val="center"/>
          </w:tcPr>
          <w:p w14:paraId="7A631A68">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23AC507B">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播水盘</w:t>
            </w:r>
          </w:p>
        </w:tc>
        <w:tc>
          <w:tcPr>
            <w:tcW w:w="2501" w:type="pct"/>
            <w:noWrap w:val="0"/>
            <w:vAlign w:val="center"/>
          </w:tcPr>
          <w:p w14:paraId="57671746">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Z700镀锌钢</w:t>
            </w:r>
          </w:p>
        </w:tc>
      </w:tr>
      <w:tr w14:paraId="69D9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476" w:type="pct"/>
            <w:noWrap w:val="0"/>
            <w:vAlign w:val="center"/>
          </w:tcPr>
          <w:p w14:paraId="68046B02">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28</w:t>
            </w:r>
          </w:p>
        </w:tc>
        <w:tc>
          <w:tcPr>
            <w:tcW w:w="379" w:type="pct"/>
            <w:vMerge w:val="continue"/>
            <w:noWrap w:val="0"/>
            <w:vAlign w:val="center"/>
          </w:tcPr>
          <w:p w14:paraId="0BB8809C">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3D9B1ECF">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有螺丝、螺母、螺栓、垫片等</w:t>
            </w:r>
          </w:p>
        </w:tc>
        <w:tc>
          <w:tcPr>
            <w:tcW w:w="2501" w:type="pct"/>
            <w:noWrap w:val="0"/>
            <w:vAlign w:val="center"/>
          </w:tcPr>
          <w:p w14:paraId="3A8062D1">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达克罗/</w:t>
            </w:r>
            <w:r>
              <w:rPr>
                <w:rFonts w:hint="eastAsia" w:ascii="宋体" w:hAnsi="宋体" w:eastAsia="宋体" w:cs="宋体"/>
                <w:color w:val="auto"/>
                <w:sz w:val="24"/>
                <w:szCs w:val="24"/>
                <w:highlight w:val="none"/>
              </w:rPr>
              <w:t>不低于</w:t>
            </w:r>
            <w:r>
              <w:rPr>
                <w:rFonts w:hint="eastAsia" w:ascii="宋体" w:hAnsi="宋体" w:eastAsia="宋体" w:cs="宋体"/>
                <w:color w:val="auto"/>
                <w:kern w:val="28"/>
                <w:sz w:val="24"/>
                <w:szCs w:val="24"/>
                <w:highlight w:val="none"/>
              </w:rPr>
              <w:t>304不锈钢</w:t>
            </w:r>
          </w:p>
        </w:tc>
      </w:tr>
      <w:tr w14:paraId="6461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23A067D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29</w:t>
            </w:r>
          </w:p>
        </w:tc>
        <w:tc>
          <w:tcPr>
            <w:tcW w:w="379" w:type="pct"/>
            <w:vMerge w:val="continue"/>
            <w:noWrap w:val="0"/>
            <w:vAlign w:val="center"/>
          </w:tcPr>
          <w:p w14:paraId="11719902">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29BF814B">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喷嘴</w:t>
            </w:r>
          </w:p>
        </w:tc>
        <w:tc>
          <w:tcPr>
            <w:tcW w:w="2501" w:type="pct"/>
            <w:noWrap w:val="0"/>
            <w:vAlign w:val="center"/>
          </w:tcPr>
          <w:p w14:paraId="6C0967A8">
            <w:pPr>
              <w:autoSpaceDE w:val="0"/>
              <w:autoSpaceDN w:val="0"/>
              <w:adjustRightInd w:val="0"/>
              <w:spacing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变流量喷头</w:t>
            </w:r>
          </w:p>
        </w:tc>
      </w:tr>
      <w:tr w14:paraId="3C41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49AFF343">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30</w:t>
            </w:r>
          </w:p>
        </w:tc>
        <w:tc>
          <w:tcPr>
            <w:tcW w:w="379" w:type="pct"/>
            <w:vMerge w:val="continue"/>
            <w:noWrap w:val="0"/>
            <w:vAlign w:val="center"/>
          </w:tcPr>
          <w:p w14:paraId="7BC4D009">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56D219CB">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材质</w:t>
            </w:r>
          </w:p>
        </w:tc>
        <w:tc>
          <w:tcPr>
            <w:tcW w:w="2501" w:type="pct"/>
            <w:noWrap w:val="0"/>
            <w:vAlign w:val="center"/>
          </w:tcPr>
          <w:p w14:paraId="5F85006D">
            <w:pPr>
              <w:autoSpaceDE w:val="0"/>
              <w:autoSpaceDN w:val="0"/>
              <w:adjustRightInd w:val="0"/>
              <w:spacing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PVC（新料）</w:t>
            </w:r>
          </w:p>
        </w:tc>
      </w:tr>
      <w:tr w14:paraId="7326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59E89F89">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31</w:t>
            </w:r>
          </w:p>
        </w:tc>
        <w:tc>
          <w:tcPr>
            <w:tcW w:w="379" w:type="pct"/>
            <w:vMerge w:val="continue"/>
            <w:noWrap w:val="0"/>
            <w:vAlign w:val="center"/>
          </w:tcPr>
          <w:p w14:paraId="13B8BD95">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608C38D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厚度mm</w:t>
            </w:r>
          </w:p>
        </w:tc>
        <w:tc>
          <w:tcPr>
            <w:tcW w:w="2501" w:type="pct"/>
            <w:noWrap w:val="0"/>
            <w:vAlign w:val="center"/>
          </w:tcPr>
          <w:p w14:paraId="3397EE07">
            <w:pPr>
              <w:autoSpaceDE w:val="0"/>
              <w:autoSpaceDN w:val="0"/>
              <w:adjustRightInd w:val="0"/>
              <w:spacing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0.32mm</w:t>
            </w:r>
          </w:p>
        </w:tc>
      </w:tr>
      <w:tr w14:paraId="5223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7E1CDFD4">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32</w:t>
            </w:r>
          </w:p>
        </w:tc>
        <w:tc>
          <w:tcPr>
            <w:tcW w:w="379" w:type="pct"/>
            <w:vMerge w:val="continue"/>
            <w:noWrap w:val="0"/>
            <w:vAlign w:val="center"/>
          </w:tcPr>
          <w:p w14:paraId="42A30E97">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125D7813">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燃烧性能等级</w:t>
            </w:r>
          </w:p>
        </w:tc>
        <w:tc>
          <w:tcPr>
            <w:tcW w:w="2501" w:type="pct"/>
            <w:noWrap w:val="0"/>
            <w:vAlign w:val="center"/>
          </w:tcPr>
          <w:p w14:paraId="0629BA0C">
            <w:pPr>
              <w:autoSpaceDE w:val="0"/>
              <w:autoSpaceDN w:val="0"/>
              <w:adjustRightInd w:val="0"/>
              <w:spacing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难燃B1级</w:t>
            </w:r>
          </w:p>
        </w:tc>
      </w:tr>
      <w:tr w14:paraId="1846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76" w:type="pct"/>
            <w:noWrap w:val="0"/>
            <w:vAlign w:val="center"/>
          </w:tcPr>
          <w:p w14:paraId="4E3D5EC8">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33</w:t>
            </w:r>
          </w:p>
        </w:tc>
        <w:tc>
          <w:tcPr>
            <w:tcW w:w="379" w:type="pct"/>
            <w:vMerge w:val="continue"/>
            <w:noWrap w:val="0"/>
            <w:vAlign w:val="center"/>
          </w:tcPr>
          <w:p w14:paraId="27DF3608">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1A8275BA">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氧指数%</w:t>
            </w:r>
          </w:p>
        </w:tc>
        <w:tc>
          <w:tcPr>
            <w:tcW w:w="2501" w:type="pct"/>
            <w:noWrap w:val="0"/>
            <w:vAlign w:val="center"/>
          </w:tcPr>
          <w:p w14:paraId="456E6EB6">
            <w:pPr>
              <w:autoSpaceDE w:val="0"/>
              <w:autoSpaceDN w:val="0"/>
              <w:adjustRightInd w:val="0"/>
              <w:spacing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≥40%</w:t>
            </w:r>
          </w:p>
        </w:tc>
      </w:tr>
      <w:tr w14:paraId="1CC5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76" w:type="pct"/>
            <w:noWrap w:val="0"/>
            <w:vAlign w:val="center"/>
          </w:tcPr>
          <w:p w14:paraId="3595D494">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34</w:t>
            </w:r>
          </w:p>
        </w:tc>
        <w:tc>
          <w:tcPr>
            <w:tcW w:w="379" w:type="pct"/>
            <w:vMerge w:val="continue"/>
            <w:noWrap w:val="0"/>
            <w:vAlign w:val="center"/>
          </w:tcPr>
          <w:p w14:paraId="503EBFE0">
            <w:pPr>
              <w:spacing w:after="20" w:line="360" w:lineRule="auto"/>
              <w:ind w:firstLine="120" w:firstLineChars="50"/>
              <w:jc w:val="center"/>
              <w:rPr>
                <w:rFonts w:hint="eastAsia" w:ascii="宋体" w:hAnsi="宋体" w:eastAsia="宋体" w:cs="宋体"/>
                <w:color w:val="auto"/>
                <w:kern w:val="28"/>
                <w:sz w:val="24"/>
                <w:szCs w:val="24"/>
                <w:highlight w:val="none"/>
              </w:rPr>
            </w:pPr>
          </w:p>
        </w:tc>
        <w:tc>
          <w:tcPr>
            <w:tcW w:w="1642" w:type="pct"/>
            <w:noWrap w:val="0"/>
            <w:vAlign w:val="center"/>
          </w:tcPr>
          <w:p w14:paraId="06611DAD">
            <w:pPr>
              <w:spacing w:after="20"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使用寿命（年）</w:t>
            </w:r>
          </w:p>
        </w:tc>
        <w:tc>
          <w:tcPr>
            <w:tcW w:w="2501" w:type="pct"/>
            <w:noWrap w:val="0"/>
            <w:vAlign w:val="center"/>
          </w:tcPr>
          <w:p w14:paraId="670E0871">
            <w:pPr>
              <w:autoSpaceDE w:val="0"/>
              <w:autoSpaceDN w:val="0"/>
              <w:adjustRightInd w:val="0"/>
              <w:spacing w:line="360" w:lineRule="auto"/>
              <w:ind w:firstLine="120" w:firstLineChars="50"/>
              <w:jc w:val="center"/>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≥15年</w:t>
            </w:r>
          </w:p>
        </w:tc>
      </w:tr>
    </w:tbl>
    <w:p w14:paraId="73385749">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71" w:name="_Toc7294"/>
      <w:r>
        <w:rPr>
          <w:rFonts w:hint="eastAsia" w:ascii="宋体" w:hAnsi="宋体" w:eastAsia="宋体" w:cs="宋体"/>
          <w:b/>
          <w:bCs/>
          <w:color w:val="auto"/>
          <w:sz w:val="24"/>
          <w:szCs w:val="24"/>
          <w:highlight w:val="none"/>
          <w:lang w:eastAsia="zh-CN"/>
        </w:rPr>
        <w:t>11.</w:t>
      </w:r>
      <w:r>
        <w:rPr>
          <w:rFonts w:hint="eastAsia" w:ascii="宋体" w:hAnsi="宋体" w:eastAsia="宋体" w:cs="宋体"/>
          <w:b/>
          <w:bCs/>
          <w:color w:val="auto"/>
          <w:sz w:val="24"/>
          <w:szCs w:val="24"/>
          <w:highlight w:val="none"/>
        </w:rPr>
        <w:t>减压阀组与疏水阀组</w:t>
      </w:r>
      <w:bookmarkEnd w:id="171"/>
    </w:p>
    <w:p w14:paraId="505931FA">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11.1、减压阀组技术要求：</w:t>
      </w:r>
    </w:p>
    <w:p w14:paraId="6ED751BF">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A）减压阀组需要包括以下各项要求：减压阀、汽水分离器、疏水阀组件、安全阀、蒸汽过滤器、压力表组件</w:t>
      </w:r>
    </w:p>
    <w:p w14:paraId="639355BB">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B）对于核心工艺要求，减压阀组两路并联（一用一备）；或者设置减压阀的旁通阀。</w:t>
      </w:r>
    </w:p>
    <w:p w14:paraId="38280CD5">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减压阀须为先导薄膜式减压阀，球墨铸铁阀体，不锈钢阀芯阀座，阀体导阀配有接驳口，供安装下游压力反馈管，感应下游压力并由导阀控制主阀的开启，以调节下游侧压力。在无负载的情况下，减压阀可以做到完全关闭。减压阀的精度应不少于±0.15BAR。当供汽压力不稳定时，减压阀能维持下游蒸汽压力。</w:t>
      </w:r>
    </w:p>
    <w:p w14:paraId="6191F8F2">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D）汽系统管道阀门为法兰连接。</w:t>
      </w:r>
    </w:p>
    <w:p w14:paraId="5BED1824">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E）压力表组件应包含针阀以及缓冲管。压力表组件分别设置在减压阀组的高、低压力管道上。压力表最大示数应为额定工作压力的两倍。</w:t>
      </w:r>
    </w:p>
    <w:p w14:paraId="056D52A9">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F）安全阀的排放管需要接到安全位置排</w:t>
      </w:r>
      <w:r>
        <w:rPr>
          <w:rFonts w:hint="eastAsia" w:ascii="宋体" w:hAnsi="宋体" w:eastAsia="宋体" w:cs="宋体"/>
          <w:color w:val="auto"/>
          <w:sz w:val="24"/>
          <w:szCs w:val="24"/>
          <w:highlight w:val="none"/>
          <w:lang w:eastAsia="zh-CN"/>
        </w:rPr>
        <w:t>放</w:t>
      </w:r>
      <w:r>
        <w:rPr>
          <w:rFonts w:hint="eastAsia" w:ascii="宋体" w:hAnsi="宋体" w:eastAsia="宋体" w:cs="宋体"/>
          <w:color w:val="auto"/>
          <w:sz w:val="24"/>
          <w:szCs w:val="24"/>
          <w:highlight w:val="none"/>
        </w:rPr>
        <w:t>。另外须在安全阀排放口的水平管底部设置排水管。排水管应接至排水地漏或室外安全位置。</w:t>
      </w:r>
    </w:p>
    <w:p w14:paraId="75C22312">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11.2、蒸汽疏水阀组技术要求：</w:t>
      </w:r>
    </w:p>
    <w:p w14:paraId="0A209D59">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蒸汽疏水阀组须在以下系统/设备上提供：</w:t>
      </w:r>
    </w:p>
    <w:p w14:paraId="564ADB1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（1）蒸汽总管缸。</w:t>
      </w:r>
    </w:p>
    <w:p w14:paraId="0A5B6130">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（2）所有蒸汽设备的蒸汽凝结水管的接驳处。</w:t>
      </w:r>
    </w:p>
    <w:p w14:paraId="27310F27">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（3）所有蒸汽立管以及蒸汽管道的最低点。</w:t>
      </w:r>
    </w:p>
    <w:p w14:paraId="5E722F73">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（4）汽水分离器的蒸汽凝结水接口。</w:t>
      </w:r>
    </w:p>
    <w:p w14:paraId="17CD805C">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（5）同一标高的蒸汽管，每隔30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50米设置疏水阀组；疏水阀组前许需要做集水槽，集水槽尺寸详见相关规范要求。</w:t>
      </w:r>
    </w:p>
    <w:p w14:paraId="13EB3364">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（6）疏水阀组须设有过滤器、截止阀、止回阀、疏水阀及观视镜及其他所需配附件。</w:t>
      </w:r>
    </w:p>
    <w:p w14:paraId="2F69AED3">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（7）疏水阀组的出力不少于设备正常运行时所产生凝结水量的200~300%。</w:t>
      </w:r>
    </w:p>
    <w:p w14:paraId="40387512">
      <w:pPr>
        <w:autoSpaceDE w:val="0"/>
        <w:autoSpaceDN w:val="0"/>
        <w:adjustRightInd w:val="0"/>
        <w:spacing w:line="360" w:lineRule="auto"/>
        <w:ind w:firstLine="120" w:firstLineChars="5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（8）疏水阀据有高抗背压率，为机械式浮球疏水阀；该类型疏水阀应为浮球机械式实时排放设计，内置自动排气阀，阀体为球墨铸铁。主阀阀芯阀座、自动排气阀以及浮球为不锈钢材质。</w:t>
      </w:r>
    </w:p>
    <w:p w14:paraId="2B7D31AE">
      <w:pPr>
        <w:spacing w:line="360" w:lineRule="auto"/>
        <w:ind w:firstLine="126" w:firstLineChars="50"/>
        <w:outlineLvl w:val="0"/>
        <w:rPr>
          <w:rFonts w:hint="eastAsia" w:ascii="宋体" w:hAnsi="宋体" w:eastAsia="宋体" w:cs="宋体"/>
          <w:bCs/>
          <w:color w:val="auto"/>
          <w:sz w:val="24"/>
          <w:szCs w:val="24"/>
          <w:highlight w:val="none"/>
        </w:rPr>
      </w:pPr>
      <w:bookmarkStart w:id="172" w:name="_Toc11207"/>
      <w:r>
        <w:rPr>
          <w:rFonts w:hint="eastAsia" w:ascii="宋体" w:hAnsi="宋体" w:eastAsia="宋体" w:cs="宋体"/>
          <w:b/>
          <w:bCs/>
          <w:color w:val="auto"/>
          <w:w w:val="105"/>
          <w:sz w:val="24"/>
          <w:szCs w:val="24"/>
          <w:highlight w:val="none"/>
        </w:rPr>
        <w:t>（四）</w:t>
      </w:r>
      <w:r>
        <w:rPr>
          <w:rFonts w:hint="eastAsia" w:ascii="宋体" w:hAnsi="宋体" w:eastAsia="宋体" w:cs="宋体"/>
          <w:b/>
          <w:bCs/>
          <w:color w:val="auto"/>
          <w:sz w:val="24"/>
          <w:szCs w:val="24"/>
          <w:highlight w:val="none"/>
        </w:rPr>
        <w:t>强电设备</w:t>
      </w:r>
      <w:bookmarkEnd w:id="172"/>
      <w:r>
        <w:rPr>
          <w:rFonts w:hint="eastAsia" w:ascii="宋体" w:hAnsi="宋体" w:eastAsia="宋体" w:cs="宋体"/>
          <w:b/>
          <w:bCs/>
          <w:color w:val="auto"/>
          <w:w w:val="180"/>
          <w:sz w:val="24"/>
          <w:szCs w:val="24"/>
          <w:highlight w:val="none"/>
        </w:rPr>
        <w:t xml:space="preserve"> </w:t>
      </w:r>
    </w:p>
    <w:p w14:paraId="243BBD24">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73" w:name="_Toc10090"/>
      <w:r>
        <w:rPr>
          <w:rFonts w:hint="eastAsia" w:ascii="宋体" w:hAnsi="宋体" w:eastAsia="宋体" w:cs="宋体"/>
          <w:b/>
          <w:color w:val="auto"/>
          <w:sz w:val="24"/>
          <w:szCs w:val="24"/>
          <w:highlight w:val="none"/>
        </w:rPr>
        <w:t>1、配电箱柜</w:t>
      </w:r>
      <w:bookmarkEnd w:id="173"/>
      <w:r>
        <w:rPr>
          <w:rFonts w:hint="eastAsia" w:ascii="宋体" w:hAnsi="宋体" w:eastAsia="宋体" w:cs="宋体"/>
          <w:b/>
          <w:bCs/>
          <w:color w:val="auto"/>
          <w:w w:val="180"/>
          <w:sz w:val="24"/>
          <w:szCs w:val="24"/>
          <w:highlight w:val="none"/>
        </w:rPr>
        <w:t xml:space="preserve"> </w:t>
      </w:r>
    </w:p>
    <w:p w14:paraId="1FD8770C">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lang w:val="zh-CN"/>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4"/>
          <w:sz w:val="24"/>
          <w:szCs w:val="24"/>
          <w:highlight w:val="none"/>
          <w:lang w:val="zh-CN"/>
        </w:rPr>
        <w:t>基本电气参数。额定电压220/380V，额定频率50Hz，额定绝缘电压不低于500V，额定冲击耐受电压不低于6kV。额定短时耐受电流（1s）不小于20kA。</w:t>
      </w:r>
    </w:p>
    <w:p w14:paraId="5E6F01F3">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lang w:val="zh-CN"/>
        </w:rPr>
      </w:pPr>
      <w:r>
        <w:rPr>
          <w:rFonts w:hint="eastAsia" w:ascii="宋体" w:hAnsi="宋体" w:eastAsia="宋体" w:cs="宋体"/>
          <w:color w:val="auto"/>
          <w:spacing w:val="-4"/>
          <w:sz w:val="24"/>
          <w:szCs w:val="24"/>
          <w:highlight w:val="none"/>
        </w:rPr>
        <w:t>2）</w:t>
      </w:r>
      <w:r>
        <w:rPr>
          <w:rFonts w:hint="eastAsia" w:ascii="宋体" w:hAnsi="宋体" w:eastAsia="宋体" w:cs="宋体"/>
          <w:color w:val="auto"/>
          <w:spacing w:val="-4"/>
          <w:sz w:val="24"/>
          <w:szCs w:val="24"/>
          <w:highlight w:val="none"/>
          <w:lang w:val="zh-CN"/>
        </w:rPr>
        <w:t>使用环境条件。安装地点海拔不超过2000m，环境温度-5℃～+40℃，相对湿度不超过90%（25℃）。适用于Ⅲ级污染等级场所。</w:t>
      </w:r>
    </w:p>
    <w:p w14:paraId="598895F2">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lang w:val="zh-CN"/>
        </w:rPr>
      </w:pPr>
      <w:r>
        <w:rPr>
          <w:rFonts w:hint="eastAsia" w:ascii="宋体" w:hAnsi="宋体" w:eastAsia="宋体" w:cs="宋体"/>
          <w:color w:val="auto"/>
          <w:spacing w:val="-4"/>
          <w:sz w:val="24"/>
          <w:szCs w:val="24"/>
          <w:highlight w:val="none"/>
        </w:rPr>
        <w:t>3）</w:t>
      </w:r>
      <w:r>
        <w:rPr>
          <w:rFonts w:hint="eastAsia" w:ascii="宋体" w:hAnsi="宋体" w:eastAsia="宋体" w:cs="宋体"/>
          <w:color w:val="auto"/>
          <w:spacing w:val="-4"/>
          <w:sz w:val="24"/>
          <w:szCs w:val="24"/>
          <w:highlight w:val="none"/>
          <w:lang w:val="zh-CN"/>
        </w:rPr>
        <w:t>箱体结构要求。箱体采用冷轧镀锌钢板制作，长边小于1500mm时板厚不小于2mm，长边不小于1500mm时板厚不小于2.5mm。箱体表面经去油、除锈、磷化后静电环氧粉末喷涂，涂层厚度不低于50μm，防锈防腐年限不低于20年。箱门开启角度不小于135°，铰链采用内铰链设计。箱体应设置敲落孔，敲落孔处配密封胶圈，防护等级不低于箱体整体防护等级。</w:t>
      </w:r>
    </w:p>
    <w:p w14:paraId="48A2135A">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lang w:val="zh-CN"/>
        </w:rPr>
      </w:pPr>
      <w:r>
        <w:rPr>
          <w:rFonts w:hint="eastAsia" w:ascii="宋体" w:hAnsi="宋体" w:eastAsia="宋体" w:cs="宋体"/>
          <w:color w:val="auto"/>
          <w:spacing w:val="-4"/>
          <w:sz w:val="24"/>
          <w:szCs w:val="24"/>
          <w:highlight w:val="none"/>
        </w:rPr>
        <w:t>4）</w:t>
      </w:r>
      <w:r>
        <w:rPr>
          <w:rFonts w:hint="eastAsia" w:ascii="宋体" w:hAnsi="宋体" w:eastAsia="宋体" w:cs="宋体"/>
          <w:color w:val="auto"/>
          <w:spacing w:val="-4"/>
          <w:sz w:val="24"/>
          <w:szCs w:val="24"/>
          <w:highlight w:val="none"/>
          <w:lang w:val="zh-CN"/>
        </w:rPr>
        <w:t>防护等级。室内常规配电箱不低于IP30；潮湿室内环境不低于IP44；室外露天安装不低于IP54。通风散热孔不得降低箱体整体防护等级。</w:t>
      </w:r>
    </w:p>
    <w:p w14:paraId="2E58B9DD">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lang w:val="zh-CN"/>
        </w:rPr>
      </w:pPr>
      <w:r>
        <w:rPr>
          <w:rFonts w:hint="eastAsia" w:ascii="宋体" w:hAnsi="宋体" w:eastAsia="宋体" w:cs="宋体"/>
          <w:color w:val="auto"/>
          <w:spacing w:val="-4"/>
          <w:sz w:val="24"/>
          <w:szCs w:val="24"/>
          <w:highlight w:val="none"/>
        </w:rPr>
        <w:t>5）</w:t>
      </w:r>
      <w:r>
        <w:rPr>
          <w:rFonts w:hint="eastAsia" w:ascii="宋体" w:hAnsi="宋体" w:eastAsia="宋体" w:cs="宋体"/>
          <w:color w:val="auto"/>
          <w:spacing w:val="-4"/>
          <w:sz w:val="24"/>
          <w:szCs w:val="24"/>
          <w:highlight w:val="none"/>
          <w:lang w:val="zh-CN"/>
        </w:rPr>
        <w:t>主要元器件要求。所有元器件须通过CCC强制认证，符合GB/T14048系列标准。微型断路器分断能力Icn不低于6kA；塑壳断路器极限分断能力Icu不低于25kA，运行分断能力Ics不低于Icu的75%。断路器应具备过载长延时保护及瞬时短路保护功能，可上进线或下进线且分断能力不降低。箱内应分别设置接地保护排（PE）和接零保护排（N），二者分开设置并有清晰标识。</w:t>
      </w:r>
    </w:p>
    <w:p w14:paraId="783C9F96">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lang w:val="zh-CN"/>
        </w:rPr>
      </w:pPr>
      <w:r>
        <w:rPr>
          <w:rFonts w:hint="eastAsia" w:ascii="宋体" w:hAnsi="宋体" w:eastAsia="宋体" w:cs="宋体"/>
          <w:color w:val="auto"/>
          <w:spacing w:val="-4"/>
          <w:sz w:val="24"/>
          <w:szCs w:val="24"/>
          <w:highlight w:val="none"/>
        </w:rPr>
        <w:t>6）</w:t>
      </w:r>
      <w:r>
        <w:rPr>
          <w:rFonts w:hint="eastAsia" w:ascii="宋体" w:hAnsi="宋体" w:eastAsia="宋体" w:cs="宋体"/>
          <w:color w:val="auto"/>
          <w:spacing w:val="-4"/>
          <w:sz w:val="24"/>
          <w:szCs w:val="24"/>
          <w:highlight w:val="none"/>
          <w:lang w:val="zh-CN"/>
        </w:rPr>
        <w:t>安装与验收。箱体安装应预留足够的进线电缆接线空间及端子安装位置。安装完成后应进行绝缘电阻测试（不低于0.5MΩ）、接地连续性测试及防护等级验证。配电箱应附产品合格证、出厂试验报告及CCC认证证书。</w:t>
      </w:r>
    </w:p>
    <w:p w14:paraId="6748A9DE">
      <w:pPr>
        <w:tabs>
          <w:tab w:val="left" w:pos="2160"/>
        </w:tabs>
        <w:autoSpaceDE w:val="0"/>
        <w:autoSpaceDN w:val="0"/>
        <w:adjustRightInd w:val="0"/>
        <w:spacing w:before="120" w:after="120"/>
        <w:ind w:firstLine="120" w:firstLineChars="50"/>
        <w:outlineLvl w:val="1"/>
        <w:rPr>
          <w:rFonts w:hint="eastAsia" w:ascii="宋体" w:hAnsi="宋体" w:eastAsia="宋体" w:cs="宋体"/>
          <w:b/>
          <w:bCs/>
          <w:color w:val="auto"/>
          <w:sz w:val="24"/>
          <w:szCs w:val="24"/>
          <w:highlight w:val="none"/>
        </w:rPr>
      </w:pPr>
      <w:bookmarkStart w:id="174" w:name="_Toc25657"/>
      <w:r>
        <w:rPr>
          <w:rFonts w:hint="eastAsia" w:ascii="宋体" w:hAnsi="宋体" w:eastAsia="宋体" w:cs="宋体"/>
          <w:b/>
          <w:bCs/>
          <w:color w:val="auto"/>
          <w:sz w:val="24"/>
          <w:szCs w:val="24"/>
          <w:highlight w:val="none"/>
        </w:rPr>
        <w:t>2、电线、电缆</w:t>
      </w:r>
      <w:bookmarkEnd w:id="174"/>
    </w:p>
    <w:p w14:paraId="5D23D11D">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1）执行标准。电力电缆执行GB/T12706《额定电压1kV到35kV挤包绝缘电力电缆及附件》，等同采用IEC60502标准。电线电缆识别标志符合GB6995标准。</w:t>
      </w:r>
    </w:p>
    <w:p w14:paraId="7F8BC10E">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2）型号与规格。电力电缆采用铜芯交联聚乙烯绝缘电力电缆，常用型号为YJV（交联聚乙烯绝缘聚氯乙烯护套）及YJV22（钢带铠装型）。导体截面范围1.5mm²～500mm²，芯数包括单芯及多芯。</w:t>
      </w:r>
    </w:p>
    <w:p w14:paraId="49170722">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3）主要电气性能。额定电压U0/U为0.6/1kV，最高工作电压1.2kV，使用频率50Hz。导体长期允许工作温度90℃，短路时（最长5s）导体最高温度不超过250℃。绝缘厚度标称值应符合GB/T12706规定，最薄处不小于标称值的90%减去0.1mm。护套厚度最薄处不小于标称值的85%减去0.1mm。</w:t>
      </w:r>
    </w:p>
    <w:p w14:paraId="5CABE993">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4）载流量要求。环境温度30℃、长期连续90%负载条件下，铜芯电缆安全载流量参考值：1.5mm²约18A，2.5mm²约26A，4mm²约35A，6mm²约47A，10mm²约66A。照明回路导线截面不小于1.5mm²，普通插座回路不小于2.5mm²，空调及大功率设备回路不小于4mm²。</w:t>
      </w:r>
    </w:p>
    <w:p w14:paraId="03864F61">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5）敷设与验收。电缆敷设环境温度不低于0℃，三芯电缆弯曲半径不小于外径15倍，单芯电缆不小于外径20倍。每一盘电缆应附合格证，注明厂家、规格、长度及试验结果，交货时距生产日期超过12个月的电缆予以拒收。电缆端头应可靠密封，防止潮气侵入。验收时应进行导体直流电阻测试、绝缘电阻测试及工频耐压试验（3.5kV/5min）。</w:t>
      </w:r>
    </w:p>
    <w:p w14:paraId="22BB885A">
      <w:pPr>
        <w:spacing w:line="360" w:lineRule="auto"/>
        <w:ind w:firstLine="116" w:firstLineChars="5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6）标志要求。成品电缆外护套表面应有制造厂名、型号、额定电压、规格及计米长度等连续标志，一个完整标志的末端与下一标志始端之间距离不超过500mm。</w:t>
      </w:r>
    </w:p>
    <w:p w14:paraId="0AA3BACA">
      <w:pPr>
        <w:tabs>
          <w:tab w:val="left" w:pos="2160"/>
        </w:tabs>
        <w:autoSpaceDE w:val="0"/>
        <w:autoSpaceDN w:val="0"/>
        <w:adjustRightInd w:val="0"/>
        <w:spacing w:line="360" w:lineRule="auto"/>
        <w:ind w:firstLine="120" w:firstLineChars="50"/>
        <w:outlineLvl w:val="1"/>
        <w:rPr>
          <w:rFonts w:hint="eastAsia" w:ascii="宋体" w:hAnsi="宋体" w:eastAsia="宋体" w:cs="宋体"/>
          <w:b/>
          <w:color w:val="auto"/>
          <w:sz w:val="24"/>
          <w:szCs w:val="24"/>
          <w:highlight w:val="none"/>
        </w:rPr>
      </w:pPr>
      <w:bookmarkStart w:id="175" w:name="_Toc23059"/>
      <w:r>
        <w:rPr>
          <w:rFonts w:hint="eastAsia" w:ascii="宋体" w:hAnsi="宋体" w:eastAsia="宋体" w:cs="宋体"/>
          <w:b/>
          <w:color w:val="auto"/>
          <w:sz w:val="24"/>
          <w:szCs w:val="24"/>
          <w:highlight w:val="none"/>
          <w:lang w:eastAsia="zh-CN"/>
        </w:rPr>
        <w:t>3.</w:t>
      </w:r>
      <w:r>
        <w:rPr>
          <w:rFonts w:hint="eastAsia" w:ascii="宋体" w:hAnsi="宋体" w:eastAsia="宋体" w:cs="宋体"/>
          <w:b/>
          <w:color w:val="auto"/>
          <w:sz w:val="24"/>
          <w:szCs w:val="24"/>
          <w:highlight w:val="none"/>
        </w:rPr>
        <w:t>六类非屏蔽双绞线缆</w:t>
      </w:r>
      <w:bookmarkEnd w:id="175"/>
    </w:p>
    <w:p w14:paraId="27C66DB5">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1）护套材料：PVC</w:t>
      </w:r>
    </w:p>
    <w:p w14:paraId="62649ED2">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2）绝缘层材料：PE</w:t>
      </w:r>
    </w:p>
    <w:p w14:paraId="35674FD9">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3）单根导体直流电阻：≤7.5Ω/100m at 20℃</w:t>
      </w:r>
    </w:p>
    <w:p w14:paraId="5E52D368">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4）直流电阻不平衡：≤2%（线对内两导体间）≤4%（线对与线对间）</w:t>
      </w:r>
    </w:p>
    <w:p w14:paraId="07A3B28E">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5）绝缘电阻：≥5000MΩ·km</w:t>
      </w:r>
    </w:p>
    <w:p w14:paraId="21F0F39F">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6）线对对地电容不平衡：≤160pF/100m</w:t>
      </w:r>
    </w:p>
    <w:p w14:paraId="255B08D7">
      <w:pPr>
        <w:widowControl/>
        <w:adjustRightInd w:val="0"/>
        <w:snapToGrid w:val="0"/>
        <w:spacing w:line="360" w:lineRule="auto"/>
        <w:ind w:firstLine="120" w:firstLineChars="50"/>
        <w:textAlignment w:val="baseline"/>
        <w:outlineLvl w:val="1"/>
        <w:rPr>
          <w:rFonts w:hint="eastAsia" w:ascii="宋体" w:hAnsi="宋体" w:eastAsia="宋体" w:cs="宋体"/>
          <w:b/>
          <w:color w:val="auto"/>
          <w:sz w:val="24"/>
          <w:szCs w:val="24"/>
          <w:highlight w:val="none"/>
        </w:rPr>
      </w:pPr>
      <w:bookmarkStart w:id="176" w:name="_Toc350"/>
      <w:r>
        <w:rPr>
          <w:rFonts w:hint="eastAsia" w:ascii="宋体" w:hAnsi="宋体" w:eastAsia="宋体" w:cs="宋体"/>
          <w:b/>
          <w:color w:val="auto"/>
          <w:sz w:val="24"/>
          <w:szCs w:val="24"/>
          <w:highlight w:val="none"/>
          <w:lang w:eastAsia="zh-CN"/>
        </w:rPr>
        <w:t>4.</w:t>
      </w:r>
      <w:r>
        <w:rPr>
          <w:rFonts w:hint="eastAsia" w:ascii="宋体" w:hAnsi="宋体" w:eastAsia="宋体" w:cs="宋体"/>
          <w:b/>
          <w:color w:val="auto"/>
          <w:sz w:val="24"/>
          <w:szCs w:val="24"/>
          <w:highlight w:val="none"/>
        </w:rPr>
        <w:t>3类50/100对大对数电缆</w:t>
      </w:r>
      <w:bookmarkEnd w:id="176"/>
      <w:r>
        <w:rPr>
          <w:rFonts w:hint="eastAsia" w:ascii="宋体" w:hAnsi="宋体" w:eastAsia="宋体" w:cs="宋体"/>
          <w:b/>
          <w:color w:val="auto"/>
          <w:sz w:val="24"/>
          <w:szCs w:val="24"/>
          <w:highlight w:val="none"/>
        </w:rPr>
        <w:tab/>
      </w:r>
    </w:p>
    <w:p w14:paraId="34BF326A">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1）护套材料：PVC</w:t>
      </w:r>
    </w:p>
    <w:p w14:paraId="752DC973">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2）绝缘层材料：PE</w:t>
      </w:r>
    </w:p>
    <w:p w14:paraId="5A343FBD">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3）安装温度：0℃～50℃</w:t>
      </w:r>
    </w:p>
    <w:p w14:paraId="797769AB">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4）工作温度：-20℃～60℃</w:t>
      </w:r>
    </w:p>
    <w:p w14:paraId="62F1620E">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5）符合标准YD/T 926.2</w:t>
      </w:r>
    </w:p>
    <w:p w14:paraId="295743C5">
      <w:pPr>
        <w:widowControl/>
        <w:adjustRightInd w:val="0"/>
        <w:snapToGrid w:val="0"/>
        <w:spacing w:line="360" w:lineRule="auto"/>
        <w:ind w:firstLine="120" w:firstLineChars="50"/>
        <w:textAlignment w:val="baseline"/>
        <w:outlineLvl w:val="1"/>
        <w:rPr>
          <w:rFonts w:hint="eastAsia" w:ascii="宋体" w:hAnsi="宋体" w:eastAsia="宋体" w:cs="宋体"/>
          <w:b/>
          <w:color w:val="auto"/>
          <w:sz w:val="24"/>
          <w:szCs w:val="24"/>
          <w:highlight w:val="none"/>
        </w:rPr>
      </w:pPr>
      <w:bookmarkStart w:id="177" w:name="_Toc2019"/>
      <w:r>
        <w:rPr>
          <w:rFonts w:hint="eastAsia" w:ascii="宋体" w:hAnsi="宋体" w:eastAsia="宋体" w:cs="宋体"/>
          <w:b/>
          <w:color w:val="auto"/>
          <w:sz w:val="24"/>
          <w:szCs w:val="24"/>
          <w:highlight w:val="none"/>
          <w:lang w:eastAsia="zh-CN"/>
        </w:rPr>
        <w:t>5.</w:t>
      </w:r>
      <w:r>
        <w:rPr>
          <w:rFonts w:hint="eastAsia" w:ascii="宋体" w:hAnsi="宋体" w:eastAsia="宋体" w:cs="宋体"/>
          <w:b/>
          <w:color w:val="auto"/>
          <w:sz w:val="24"/>
          <w:szCs w:val="24"/>
          <w:highlight w:val="none"/>
        </w:rPr>
        <w:t>光缆</w:t>
      </w:r>
      <w:bookmarkEnd w:id="177"/>
    </w:p>
    <w:p w14:paraId="71694332">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1）产品符合YD/T1258-4、YD/T 908-2011、GB/T9771.3-2008、GB/T12357.1-2004等标准；</w:t>
      </w:r>
    </w:p>
    <w:p w14:paraId="429CA34A">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2）外护材料具有阻燃、环保等优点；</w:t>
      </w:r>
    </w:p>
    <w:p w14:paraId="2F2FC37E">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3）光学性能：光缆在@1310nm时衰减≤0.36（dB/km）；</w:t>
      </w:r>
    </w:p>
    <w:p w14:paraId="6701085D">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4）光缆在@1550nm时衰减≤0.22（dB/km）；</w:t>
      </w:r>
    </w:p>
    <w:p w14:paraId="2DA350B6">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5）光缆在@1300nm时温度附加衰减（-20°~+60°）≤0.05dB/km；</w:t>
      </w:r>
    </w:p>
    <w:p w14:paraId="5EC5AC88">
      <w:pPr>
        <w:widowControl/>
        <w:adjustRightInd w:val="0"/>
        <w:snapToGrid w:val="0"/>
        <w:spacing w:line="360" w:lineRule="auto"/>
        <w:ind w:firstLine="116" w:firstLineChars="5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6）光缆在@1550nm时温度附加衰减（-20°~+60°）≤0.05dB/km。</w:t>
      </w:r>
    </w:p>
    <w:p w14:paraId="7B53C1EC">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78" w:name="_Toc31318"/>
      <w:r>
        <w:rPr>
          <w:rFonts w:hint="eastAsia" w:ascii="宋体" w:hAnsi="宋体" w:eastAsia="宋体" w:cs="宋体"/>
          <w:b/>
          <w:bCs/>
          <w:color w:val="auto"/>
          <w:sz w:val="24"/>
          <w:szCs w:val="24"/>
          <w:highlight w:val="none"/>
          <w:lang w:eastAsia="zh-CN"/>
        </w:rPr>
        <w:t>6.</w:t>
      </w:r>
      <w:r>
        <w:rPr>
          <w:rFonts w:hint="eastAsia" w:ascii="宋体" w:hAnsi="宋体" w:eastAsia="宋体" w:cs="宋体"/>
          <w:b/>
          <w:bCs/>
          <w:color w:val="auto"/>
          <w:sz w:val="24"/>
          <w:szCs w:val="24"/>
          <w:highlight w:val="none"/>
        </w:rPr>
        <w:t>面板式LED净化灯</w:t>
      </w:r>
      <w:bookmarkEnd w:id="178"/>
    </w:p>
    <w:p w14:paraId="533F42C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LED</w:t>
      </w:r>
      <w:r>
        <w:rPr>
          <w:rFonts w:hint="eastAsia" w:ascii="宋体" w:hAnsi="宋体" w:eastAsia="宋体" w:cs="宋体"/>
          <w:color w:val="auto"/>
          <w:spacing w:val="-54"/>
          <w:sz w:val="24"/>
          <w:szCs w:val="24"/>
          <w:highlight w:val="none"/>
        </w:rPr>
        <w:t xml:space="preserve"> </w:t>
      </w:r>
      <w:r>
        <w:rPr>
          <w:rFonts w:hint="eastAsia" w:ascii="宋体" w:hAnsi="宋体" w:eastAsia="宋体" w:cs="宋体"/>
          <w:color w:val="auto"/>
          <w:sz w:val="24"/>
          <w:szCs w:val="24"/>
          <w:highlight w:val="none"/>
        </w:rPr>
        <w:t xml:space="preserve">洁净平板灯（节能型）； </w:t>
      </w:r>
    </w:p>
    <w:p w14:paraId="2886C5E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2）型号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斜边式</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z w:val="24"/>
          <w:szCs w:val="24"/>
          <w:highlight w:val="none"/>
        </w:rPr>
        <w:t>LED</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z w:val="24"/>
          <w:szCs w:val="24"/>
          <w:highlight w:val="none"/>
        </w:rPr>
        <w:t xml:space="preserve">洁净平板灯，防眩光罩； </w:t>
      </w:r>
    </w:p>
    <w:p w14:paraId="71C7F84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3）规格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W300*L1200；Ra=85；4000Lm，灯具效率</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z w:val="24"/>
          <w:szCs w:val="24"/>
          <w:highlight w:val="none"/>
        </w:rPr>
        <w:t>70%；</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z w:val="24"/>
          <w:szCs w:val="24"/>
          <w:highlight w:val="none"/>
        </w:rPr>
        <w:t>220V.</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z w:val="24"/>
          <w:szCs w:val="24"/>
          <w:highlight w:val="none"/>
        </w:rPr>
        <w:t>48W</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z w:val="24"/>
          <w:szCs w:val="24"/>
          <w:highlight w:val="none"/>
        </w:rPr>
        <w:t>色温</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z w:val="24"/>
          <w:szCs w:val="24"/>
          <w:highlight w:val="none"/>
        </w:rPr>
        <w:t xml:space="preserve">K:≥4000； </w:t>
      </w:r>
    </w:p>
    <w:p w14:paraId="101D489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4）安装形式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吸顶。 </w:t>
      </w:r>
    </w:p>
    <w:p w14:paraId="4F620D79">
      <w:pPr>
        <w:spacing w:line="360" w:lineRule="auto"/>
        <w:ind w:firstLine="120" w:firstLineChars="50"/>
        <w:outlineLvl w:val="0"/>
        <w:rPr>
          <w:rFonts w:hint="eastAsia" w:ascii="宋体" w:hAnsi="宋体" w:eastAsia="宋体" w:cs="宋体"/>
          <w:bCs/>
          <w:color w:val="auto"/>
          <w:sz w:val="24"/>
          <w:szCs w:val="24"/>
          <w:highlight w:val="none"/>
        </w:rPr>
      </w:pPr>
      <w:bookmarkStart w:id="179" w:name="_Toc24425"/>
      <w:r>
        <w:rPr>
          <w:rFonts w:hint="eastAsia" w:ascii="宋体" w:hAnsi="宋体" w:eastAsia="宋体" w:cs="宋体"/>
          <w:b/>
          <w:bCs/>
          <w:color w:val="auto"/>
          <w:sz w:val="24"/>
          <w:szCs w:val="24"/>
          <w:highlight w:val="none"/>
        </w:rPr>
        <w:t>（五）弱电设备</w:t>
      </w:r>
      <w:bookmarkEnd w:id="179"/>
      <w:r>
        <w:rPr>
          <w:rFonts w:hint="eastAsia" w:ascii="宋体" w:hAnsi="宋体" w:eastAsia="宋体" w:cs="宋体"/>
          <w:b/>
          <w:bCs/>
          <w:color w:val="auto"/>
          <w:w w:val="180"/>
          <w:sz w:val="24"/>
          <w:szCs w:val="24"/>
          <w:highlight w:val="none"/>
        </w:rPr>
        <w:t xml:space="preserve"> </w:t>
      </w:r>
    </w:p>
    <w:p w14:paraId="45C25189">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80" w:name="_Toc20376"/>
      <w:r>
        <w:rPr>
          <w:rFonts w:hint="eastAsia" w:ascii="宋体" w:hAnsi="宋体" w:eastAsia="宋体" w:cs="宋体"/>
          <w:b/>
          <w:bCs/>
          <w:color w:val="auto"/>
          <w:sz w:val="24"/>
          <w:szCs w:val="24"/>
          <w:highlight w:val="none"/>
          <w:lang w:eastAsia="zh-CN"/>
        </w:rPr>
        <w:t>1.</w:t>
      </w:r>
      <w:r>
        <w:rPr>
          <w:rFonts w:hint="eastAsia" w:ascii="宋体" w:hAnsi="宋体" w:eastAsia="宋体" w:cs="宋体"/>
          <w:b/>
          <w:bCs/>
          <w:color w:val="auto"/>
          <w:sz w:val="24"/>
          <w:szCs w:val="24"/>
          <w:highlight w:val="none"/>
        </w:rPr>
        <w:t>监控设备</w:t>
      </w:r>
      <w:bookmarkEnd w:id="180"/>
      <w:r>
        <w:rPr>
          <w:rFonts w:hint="eastAsia" w:ascii="宋体" w:hAnsi="宋体" w:eastAsia="宋体" w:cs="宋体"/>
          <w:b/>
          <w:bCs/>
          <w:color w:val="auto"/>
          <w:sz w:val="24"/>
          <w:szCs w:val="24"/>
          <w:highlight w:val="none"/>
        </w:rPr>
        <w:t xml:space="preserve"> </w:t>
      </w:r>
    </w:p>
    <w:p w14:paraId="4050A2C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网络半球摄像机 </w:t>
      </w:r>
    </w:p>
    <w:p w14:paraId="502D700B">
      <w:pPr>
        <w:spacing w:line="360" w:lineRule="auto"/>
        <w:ind w:firstLine="120" w:firstLineChars="50"/>
        <w:rPr>
          <w:rFonts w:hint="eastAsia" w:ascii="宋体" w:hAnsi="宋体" w:eastAsia="宋体" w:cs="宋体"/>
          <w:color w:val="auto"/>
          <w:spacing w:val="-102"/>
          <w:sz w:val="24"/>
          <w:szCs w:val="24"/>
          <w:highlight w:val="none"/>
        </w:rPr>
      </w:pPr>
      <w:r>
        <w:rPr>
          <w:rFonts w:hint="eastAsia" w:ascii="宋体" w:hAnsi="宋体" w:eastAsia="宋体" w:cs="宋体"/>
          <w:color w:val="auto"/>
          <w:sz w:val="24"/>
          <w:szCs w:val="24"/>
          <w:highlight w:val="none"/>
        </w:rPr>
        <w:t>a.不低于</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z w:val="24"/>
          <w:szCs w:val="24"/>
          <w:highlight w:val="none"/>
        </w:rPr>
        <w:t>200</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z w:val="24"/>
          <w:szCs w:val="24"/>
          <w:highlight w:val="none"/>
        </w:rPr>
        <w:t>万像素半球型网络摄像机；</w:t>
      </w:r>
      <w:r>
        <w:rPr>
          <w:rFonts w:hint="eastAsia" w:ascii="宋体" w:hAnsi="宋体" w:eastAsia="宋体" w:cs="宋体"/>
          <w:color w:val="auto"/>
          <w:spacing w:val="-102"/>
          <w:sz w:val="24"/>
          <w:szCs w:val="24"/>
          <w:highlight w:val="none"/>
        </w:rPr>
        <w:t xml:space="preserve"> </w:t>
      </w:r>
    </w:p>
    <w:p w14:paraId="15CD332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b.最小照度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0.01Lux@（F1.2，AGCON），0LuxwithIR； </w:t>
      </w:r>
    </w:p>
    <w:p w14:paraId="102D30C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c.镜头：2.8mm； </w:t>
      </w:r>
    </w:p>
    <w:p w14:paraId="7607C8A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d.宽动态范围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120dB； </w:t>
      </w:r>
    </w:p>
    <w:p w14:paraId="760D7C8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e.视频压缩标准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H.265/H.264/MJPEG；</w:t>
      </w:r>
    </w:p>
    <w:p w14:paraId="7B87117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f.最大图像尺寸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1920*1080；1</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z w:val="24"/>
          <w:szCs w:val="24"/>
          <w:highlight w:val="none"/>
        </w:rPr>
        <w:t>个</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z w:val="24"/>
          <w:szCs w:val="24"/>
          <w:highlight w:val="none"/>
        </w:rPr>
        <w:t>RJ4510M/100M</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z w:val="24"/>
          <w:szCs w:val="24"/>
          <w:highlight w:val="none"/>
        </w:rPr>
        <w:t xml:space="preserve">自适应以太网口；带拾音； </w:t>
      </w:r>
    </w:p>
    <w:p w14:paraId="20C002B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g.红外照射距离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10-30</w:t>
      </w:r>
      <w:r>
        <w:rPr>
          <w:rFonts w:hint="eastAsia" w:ascii="宋体" w:hAnsi="宋体" w:eastAsia="宋体" w:cs="宋体"/>
          <w:color w:val="auto"/>
          <w:spacing w:val="-47"/>
          <w:sz w:val="24"/>
          <w:szCs w:val="24"/>
          <w:highlight w:val="none"/>
        </w:rPr>
        <w:t xml:space="preserve"> </w:t>
      </w:r>
      <w:r>
        <w:rPr>
          <w:rFonts w:hint="eastAsia" w:ascii="宋体" w:hAnsi="宋体" w:eastAsia="宋体" w:cs="宋体"/>
          <w:color w:val="auto"/>
          <w:spacing w:val="-3"/>
          <w:sz w:val="24"/>
          <w:szCs w:val="24"/>
          <w:highlight w:val="none"/>
        </w:rPr>
        <w:t>米。</w:t>
      </w:r>
      <w:r>
        <w:rPr>
          <w:rFonts w:hint="eastAsia" w:ascii="宋体" w:hAnsi="宋体" w:eastAsia="宋体" w:cs="宋体"/>
          <w:color w:val="auto"/>
          <w:sz w:val="24"/>
          <w:szCs w:val="24"/>
          <w:highlight w:val="none"/>
        </w:rPr>
        <w:t xml:space="preserve"> </w:t>
      </w:r>
    </w:p>
    <w:p w14:paraId="326E5425">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81" w:name="_Toc30791"/>
      <w:r>
        <w:rPr>
          <w:rFonts w:hint="eastAsia" w:ascii="宋体" w:hAnsi="宋体" w:eastAsia="宋体" w:cs="宋体"/>
          <w:b/>
          <w:bCs/>
          <w:color w:val="auto"/>
          <w:sz w:val="24"/>
          <w:szCs w:val="24"/>
          <w:highlight w:val="none"/>
          <w:lang w:eastAsia="zh-CN"/>
        </w:rPr>
        <w:t>2.</w:t>
      </w:r>
      <w:r>
        <w:rPr>
          <w:rFonts w:hint="eastAsia" w:ascii="宋体" w:hAnsi="宋体" w:eastAsia="宋体" w:cs="宋体"/>
          <w:b/>
          <w:bCs/>
          <w:color w:val="auto"/>
          <w:sz w:val="24"/>
          <w:szCs w:val="24"/>
          <w:highlight w:val="none"/>
        </w:rPr>
        <w:t>门禁系统</w:t>
      </w:r>
      <w:bookmarkEnd w:id="181"/>
      <w:r>
        <w:rPr>
          <w:rFonts w:hint="eastAsia" w:ascii="宋体" w:hAnsi="宋体" w:eastAsia="宋体" w:cs="宋体"/>
          <w:b/>
          <w:bCs/>
          <w:color w:val="auto"/>
          <w:sz w:val="24"/>
          <w:szCs w:val="24"/>
          <w:highlight w:val="none"/>
        </w:rPr>
        <w:t xml:space="preserve"> </w:t>
      </w:r>
    </w:p>
    <w:p w14:paraId="66E4EBE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系统采用双层</w:t>
      </w:r>
      <w:r>
        <w:rPr>
          <w:rFonts w:hint="eastAsia" w:ascii="宋体" w:hAnsi="宋体" w:eastAsia="宋体" w:cs="宋体"/>
          <w:color w:val="auto"/>
          <w:sz w:val="24"/>
          <w:szCs w:val="24"/>
          <w:highlight w:val="none"/>
          <w:lang w:eastAsia="zh-CN"/>
        </w:rPr>
        <w:t>网络</w:t>
      </w:r>
      <w:r>
        <w:rPr>
          <w:rFonts w:hint="eastAsia" w:ascii="宋体" w:hAnsi="宋体" w:eastAsia="宋体" w:cs="宋体"/>
          <w:color w:val="auto"/>
          <w:sz w:val="24"/>
          <w:szCs w:val="24"/>
          <w:highlight w:val="none"/>
        </w:rPr>
        <w:t>架构，以</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z w:val="24"/>
          <w:szCs w:val="24"/>
          <w:highlight w:val="none"/>
        </w:rPr>
        <w:t>TCP/IP</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z w:val="24"/>
          <w:szCs w:val="24"/>
          <w:highlight w:val="none"/>
        </w:rPr>
        <w:t>通信方式的门禁网络为主，接入就近的 TCP/IP</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9"/>
          <w:sz w:val="24"/>
          <w:szCs w:val="24"/>
          <w:highlight w:val="none"/>
        </w:rPr>
        <w:t>网络（网络控制器），下层同样以</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z w:val="24"/>
          <w:szCs w:val="24"/>
          <w:highlight w:val="none"/>
        </w:rPr>
        <w:t>RS485</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z w:val="24"/>
          <w:szCs w:val="24"/>
          <w:highlight w:val="none"/>
        </w:rPr>
        <w:t>方式连接读卡器以控制电磁力锁实现开关门，方</w:t>
      </w:r>
      <w:r>
        <w:rPr>
          <w:rFonts w:hint="eastAsia" w:ascii="宋体" w:hAnsi="宋体" w:eastAsia="宋体" w:cs="宋体"/>
          <w:color w:val="auto"/>
          <w:spacing w:val="-103"/>
          <w:sz w:val="24"/>
          <w:szCs w:val="24"/>
          <w:highlight w:val="none"/>
        </w:rPr>
        <w:t xml:space="preserve"> </w:t>
      </w:r>
      <w:r>
        <w:rPr>
          <w:rFonts w:hint="eastAsia" w:ascii="宋体" w:hAnsi="宋体" w:eastAsia="宋体" w:cs="宋体"/>
          <w:color w:val="auto"/>
          <w:sz w:val="24"/>
          <w:szCs w:val="24"/>
          <w:highlight w:val="none"/>
        </w:rPr>
        <w:t xml:space="preserve">便布线节约成本及一卡通设备的高性能集中管理。 </w:t>
      </w:r>
    </w:p>
    <w:p w14:paraId="7FB2A857">
      <w:pPr>
        <w:tabs>
          <w:tab w:val="left" w:pos="2160"/>
        </w:tabs>
        <w:autoSpaceDE w:val="0"/>
        <w:autoSpaceDN w:val="0"/>
        <w:adjustRightInd w:val="0"/>
        <w:spacing w:line="360" w:lineRule="auto"/>
        <w:ind w:firstLine="120" w:firstLineChars="50"/>
        <w:outlineLvl w:val="1"/>
        <w:rPr>
          <w:rFonts w:hint="eastAsia" w:ascii="宋体" w:hAnsi="宋体" w:eastAsia="宋体" w:cs="宋体"/>
          <w:bCs/>
          <w:color w:val="auto"/>
          <w:sz w:val="24"/>
          <w:szCs w:val="24"/>
          <w:highlight w:val="none"/>
        </w:rPr>
      </w:pPr>
      <w:bookmarkStart w:id="182" w:name="_Toc7196"/>
      <w:r>
        <w:rPr>
          <w:rFonts w:hint="eastAsia" w:ascii="宋体" w:hAnsi="宋体" w:eastAsia="宋体" w:cs="宋体"/>
          <w:b/>
          <w:bCs/>
          <w:color w:val="auto"/>
          <w:sz w:val="24"/>
          <w:szCs w:val="24"/>
          <w:highlight w:val="none"/>
          <w:lang w:eastAsia="zh-CN"/>
        </w:rPr>
        <w:t>3.</w:t>
      </w:r>
      <w:r>
        <w:rPr>
          <w:rFonts w:hint="eastAsia" w:ascii="宋体" w:hAnsi="宋体" w:eastAsia="宋体" w:cs="宋体"/>
          <w:b/>
          <w:bCs/>
          <w:color w:val="auto"/>
          <w:sz w:val="24"/>
          <w:szCs w:val="24"/>
          <w:highlight w:val="none"/>
        </w:rPr>
        <w:t>自控系统</w:t>
      </w:r>
      <w:bookmarkEnd w:id="182"/>
      <w:r>
        <w:rPr>
          <w:rFonts w:hint="eastAsia" w:ascii="宋体" w:hAnsi="宋体" w:eastAsia="宋体" w:cs="宋体"/>
          <w:b/>
          <w:bCs/>
          <w:color w:val="auto"/>
          <w:sz w:val="24"/>
          <w:szCs w:val="24"/>
          <w:highlight w:val="none"/>
        </w:rPr>
        <w:t xml:space="preserve"> </w:t>
      </w:r>
    </w:p>
    <w:p w14:paraId="342F45F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（1）依据设计规范结合业主需求，设置BMS自动控制、EMS环境在线监测系统。</w:t>
      </w:r>
    </w:p>
    <w:p w14:paraId="0E207CA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用分层结构，下层为设备控制层，负责现场设备的检测及控制，上层为集中监控层，负责整个控制系统的集中管理。管理级网络由2套中央监控上位机及配套监控软件构成，中央监控上位机与设备监控层现场控制器之间采用网络通信。现场控制器的分布采用分散、就近原则，每台控制器自成系统。设备监控层由现场控制器、房间控制器及底层各类检测仪表、传感器、执行器等外围现场设备组成</w:t>
      </w:r>
      <w:r>
        <w:rPr>
          <w:rFonts w:hint="eastAsia" w:ascii="宋体" w:hAnsi="宋体" w:eastAsia="宋体" w:cs="宋体"/>
          <w:color w:val="auto"/>
          <w:sz w:val="24"/>
          <w:szCs w:val="24"/>
          <w:highlight w:val="none"/>
          <w:lang w:eastAsia="zh-CN"/>
        </w:rPr>
        <w:t>；控</w:t>
      </w:r>
      <w:r>
        <w:rPr>
          <w:rFonts w:hint="eastAsia" w:ascii="宋体" w:hAnsi="宋体" w:eastAsia="宋体" w:cs="宋体"/>
          <w:color w:val="auto"/>
          <w:sz w:val="24"/>
          <w:szCs w:val="24"/>
          <w:highlight w:val="none"/>
        </w:rPr>
        <w:t>制器通过输入模块将传感器采集来的信号进行分析、处理，同时将各种控制信号输出给执行机构以完成全自动控制功能，各控制器之间也可相互点对点直接通讯以完成协同优化控制功能。对机组的运行、冷泵、热泵的运行进行控制、监控。对实验室、房间、走廊的温湿度进行监控和自动调节，对饲养间的温湿度等环境运行数据</w:t>
      </w:r>
      <w:r>
        <w:rPr>
          <w:rFonts w:hint="eastAsia" w:ascii="宋体" w:hAnsi="宋体" w:eastAsia="宋体" w:cs="宋体"/>
          <w:color w:val="auto"/>
          <w:sz w:val="24"/>
          <w:szCs w:val="24"/>
          <w:highlight w:val="none"/>
          <w:lang w:eastAsia="zh-CN"/>
        </w:rPr>
        <w:t>实时</w:t>
      </w:r>
      <w:r>
        <w:rPr>
          <w:rFonts w:hint="eastAsia" w:ascii="宋体" w:hAnsi="宋体" w:eastAsia="宋体" w:cs="宋体"/>
          <w:color w:val="auto"/>
          <w:sz w:val="24"/>
          <w:szCs w:val="24"/>
          <w:highlight w:val="none"/>
        </w:rPr>
        <w:t>采集并验证。</w:t>
      </w:r>
    </w:p>
    <w:p w14:paraId="411B00A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（3）EMS环境在线监测系统。</w:t>
      </w:r>
    </w:p>
    <w:p w14:paraId="0FDE693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a.计算机化系统由硬件、软件、网络</w:t>
      </w:r>
      <w:r>
        <w:rPr>
          <w:rFonts w:hint="eastAsia" w:ascii="宋体" w:hAnsi="宋体" w:eastAsia="宋体" w:cs="宋体"/>
          <w:color w:val="auto"/>
          <w:sz w:val="24"/>
          <w:szCs w:val="24"/>
          <w:highlight w:val="none"/>
          <w:lang w:eastAsia="zh-CN"/>
        </w:rPr>
        <w:t>组件</w:t>
      </w:r>
      <w:r>
        <w:rPr>
          <w:rFonts w:hint="eastAsia" w:ascii="宋体" w:hAnsi="宋体" w:eastAsia="宋体" w:cs="宋体"/>
          <w:color w:val="auto"/>
          <w:sz w:val="24"/>
          <w:szCs w:val="24"/>
          <w:highlight w:val="none"/>
        </w:rPr>
        <w:t>和可控的功能和相关文件组成，系统采集并记录环境运行数据（温度、湿度、压力）。</w:t>
      </w:r>
    </w:p>
    <w:p w14:paraId="08082A9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计算机化系统所产生的电子数据应当有保存完整的稽查轨迹和电子签名，以确保数据的完整性和有效性。确保数据在产生、处理、回顾、分析和报告、传递、存储和恢复以及持续监控直至销毁的过程中均准确可靠。仪器仪表应有校准记录，校准记录应标明所用标准计量器具的名称、编号、校准有效期和计量合格证明，确保记录的可追溯性。仪器仪表应有明显的标识，标明其校准有效期。货物进场前需提供合格证明。</w:t>
      </w:r>
    </w:p>
    <w:p w14:paraId="71F4026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c.中标施工单位应配合建立确认和验证的文件和记录，并能以文件和记录证明达到以下目标：设计确认（DQ）应证实验室环境的设计符合《实验动物环境及设施》GB 14925-2023和药物GLP中硬件要求。</w:t>
      </w:r>
    </w:p>
    <w:p w14:paraId="2CCFF69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d.安装确认（IQ）应证明实验室仪表按照设计和确定要求并正确安装在选定的环境中。</w:t>
      </w:r>
    </w:p>
    <w:p w14:paraId="0F90268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e.运行确认（OQ）应证明实验室仪表的功能符合设计要求和用户需求。</w:t>
      </w:r>
    </w:p>
    <w:p w14:paraId="53719CB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r.性能确认（PQ）应证明实验仪表始终能够按照设计确定的性能指标运行，且与预期用途相适应。</w:t>
      </w:r>
    </w:p>
    <w:p w14:paraId="2912B5A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g.EMS系统的计算机验证，包含所有与之相关系统的验证，以组成完整的计算机系统的验证工作。如仪表、桥架、电缆的安装验证。</w:t>
      </w:r>
    </w:p>
    <w:p w14:paraId="5FA6FD4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h.记录应留有足够的空格供填写数据用。记录填写应做到内容真实，字迹清晰、易读，不易擦掉。记录应保持清洁，不得撕毁和任意涂改。记录填写的任何更改都应签注姓名和日期，并使原有信息仍清晰可辨，必要时，应说明更改的理由。</w:t>
      </w:r>
    </w:p>
    <w:p w14:paraId="7DC0F6B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i.系统采用先进的冗余型控制器，系统为模块化结构，所有硬件应是制造厂的标准产品或标准选件。控制器所有模板均通过权威机构的安全认证，包括但不仅限于UL、CSA、CE等。控制器要求采用模块化结构，模块的安装、拆卸借助普通螺丝刀即可快速完成。所有服务器都要安装正版组态软件且统一版本，电脑驱动和系统都要提供正版光盘和备用光盘各一份，在所有安装程序、运行程序都装好调试成功后再安装一键恢复功能。</w:t>
      </w:r>
    </w:p>
    <w:p w14:paraId="64213FA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（4）BMS楼宇自控系统。</w:t>
      </w:r>
    </w:p>
    <w:p w14:paraId="21EEBB7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a.净化空调送风机组控制要求</w:t>
      </w:r>
    </w:p>
    <w:p w14:paraId="7ABF295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1）中央监控室远程启停控制并监视空调机组运行状态、设定参数，并显示温湿度。 </w:t>
      </w:r>
    </w:p>
    <w:p w14:paraId="402B868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温湿度控制：夏季模式：根据排风管上湿度传感器检测湿度与设定值比较，调节表冷段回水管上的电动阀开度进行除湿，使室内湿度达到设定值，并根据温度传感器检测温度与设定值比较，调节再热段热水回水管上的电动阀开度进行温度补偿，使室内温度达到设定值。冬季模式：根据排风管上温度传感器检测温度与设定值比较，调节表冷段回水管上的电动阀开度，控制热水流量，使室内温度达到设定值。根据排风管上湿度传感器检测湿度与设定值比较，调节蒸汽管上的电动阀开度，控制蒸汽加湿量，使室内湿度保持在设定值。</w:t>
      </w:r>
    </w:p>
    <w:p w14:paraId="2A15568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3）风量控制：根据送风管上风速传感器检测风速或风压与设定值比较，调节变频器输出频率，控制送风风速，使送风量达到要求。</w:t>
      </w:r>
    </w:p>
    <w:p w14:paraId="4693330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4）监测送风机两端压差，以压差开关信号作为风机故障报警。</w:t>
      </w:r>
    </w:p>
    <w:p w14:paraId="42AE020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5）监测初效过滤器两端压差，滤网堵塞时报警。</w:t>
      </w:r>
    </w:p>
    <w:p w14:paraId="29024AB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6）送风机与排风机联锁，先开送风机后开排风机，停机时先停排风机再停送风机。停机时联锁关闭冷热水阀和加湿阀。</w:t>
      </w:r>
    </w:p>
    <w:p w14:paraId="5F4B9DB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7）送风机与新风电动密闭阀联锁，阀门完全打开后方能开启送风机，停机时联锁关闭新风电动密闭阀。</w:t>
      </w:r>
    </w:p>
    <w:p w14:paraId="3A50EE8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b.动物房空调排风机组控制要求</w:t>
      </w:r>
    </w:p>
    <w:p w14:paraId="78D7F69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1）中央监控室远程启停控制并监视动物房风机运行状态，故障时自动切换。</w:t>
      </w:r>
    </w:p>
    <w:p w14:paraId="2D17E97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2）根据风管上压力传感器信号，调节变频器输出频率，控制排风量。 </w:t>
      </w:r>
    </w:p>
    <w:p w14:paraId="40E6304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3）监测送风机两端压差，以压差开关信号作为风机故障报警。</w:t>
      </w:r>
    </w:p>
    <w:p w14:paraId="2D0E18E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4）监测过滤器两端压差，滤网堵塞时报警。</w:t>
      </w:r>
    </w:p>
    <w:p w14:paraId="12DFF75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5）启停控制与送风机联锁。</w:t>
      </w:r>
    </w:p>
    <w:p w14:paraId="106BC59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c.动物房、实验室等室内参数及冷热源监视系统</w:t>
      </w:r>
    </w:p>
    <w:p w14:paraId="3B36E2F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1）在中央监控室监视房间温湿度和压力。</w:t>
      </w:r>
    </w:p>
    <w:p w14:paraId="7FDC0DD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2）房间压差控制：根据压差传感器信号，调节排风电动调节阀开度，控制排风量，保持房间压差。</w:t>
      </w:r>
    </w:p>
    <w:p w14:paraId="0AFB119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3）冷热源的机组运行状态、故障状态、机组启停等内容的监控。</w:t>
      </w:r>
    </w:p>
    <w:p w14:paraId="2A76B0A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（5）主要设备选型参数</w:t>
      </w:r>
    </w:p>
    <w:p w14:paraId="1F23D40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1）现场传感及执行机构</w:t>
      </w:r>
    </w:p>
    <w:p w14:paraId="33BCD11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传感器基本参数如下：</w:t>
      </w:r>
    </w:p>
    <w:p w14:paraId="26FE8A3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温度/湿度范围：-40～60℃/0～100%RH</w:t>
      </w:r>
    </w:p>
    <w:p w14:paraId="05ADA7B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温度/湿度精度：精度不低于±0.1℃/±1％RH</w:t>
      </w:r>
    </w:p>
    <w:p w14:paraId="750D5B6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冷水三通阀基本参数如下：</w:t>
      </w:r>
    </w:p>
    <w:p w14:paraId="6DCDE26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阀门行程：20mm；</w:t>
      </w:r>
    </w:p>
    <w:p w14:paraId="029C4B5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阀门泄漏率：Kvs值的0—0.02%；</w:t>
      </w:r>
    </w:p>
    <w:p w14:paraId="26FB394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阀门流量特性：等百分比；</w:t>
      </w:r>
    </w:p>
    <w:p w14:paraId="5C0DCE5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阀门可调比：DN15:＞50:1，DN20—50＞100:1；</w:t>
      </w:r>
    </w:p>
    <w:p w14:paraId="6941F46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允许的工作压力：D1600Kpa；</w:t>
      </w:r>
    </w:p>
    <w:p w14:paraId="78E53EA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阀体材料：青铜CC491K</w:t>
      </w:r>
    </w:p>
    <w:p w14:paraId="13F7111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价质：热水不低于140℃，冷冻水不高于-25℃；</w:t>
      </w:r>
    </w:p>
    <w:p w14:paraId="1225AEF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阀门电动执行器</w:t>
      </w:r>
    </w:p>
    <w:p w14:paraId="37B73A4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电动执行器的参数如下：</w:t>
      </w:r>
    </w:p>
    <w:p w14:paraId="0F2F861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定位力：700N/1000N/2000N可选；</w:t>
      </w:r>
    </w:p>
    <w:p w14:paraId="6E746DB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行程：20mm；</w:t>
      </w:r>
    </w:p>
    <w:p w14:paraId="4231DFD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定位时间：35S；</w:t>
      </w:r>
    </w:p>
    <w:p w14:paraId="5591052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功率消耗：8W；</w:t>
      </w:r>
    </w:p>
    <w:p w14:paraId="677DB47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（6）EMS和BMS两套系统分开设置，两套系统共用采集点及传感器</w:t>
      </w:r>
    </w:p>
    <w:p w14:paraId="52B01C5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（7）EMS和BMS上位机独立设置，控制点应考虑不少于10%的点位预留。上位机应考虑备用。</w:t>
      </w:r>
    </w:p>
    <w:p w14:paraId="7576057B">
      <w:pPr>
        <w:widowControl/>
        <w:adjustRightInd w:val="0"/>
        <w:snapToGrid w:val="0"/>
        <w:spacing w:line="360" w:lineRule="auto"/>
        <w:ind w:firstLine="120" w:firstLineChars="50"/>
        <w:textAlignment w:val="baseline"/>
        <w:outlineLvl w:val="1"/>
        <w:rPr>
          <w:rFonts w:hint="eastAsia" w:ascii="宋体" w:hAnsi="宋体" w:eastAsia="宋体" w:cs="宋体"/>
          <w:b/>
          <w:color w:val="auto"/>
          <w:sz w:val="24"/>
          <w:szCs w:val="24"/>
          <w:highlight w:val="none"/>
        </w:rPr>
      </w:pPr>
      <w:bookmarkStart w:id="183" w:name="_Toc20271"/>
      <w:r>
        <w:rPr>
          <w:rFonts w:hint="eastAsia" w:ascii="宋体" w:hAnsi="宋体" w:eastAsia="宋体" w:cs="宋体"/>
          <w:b/>
          <w:color w:val="auto"/>
          <w:sz w:val="24"/>
          <w:szCs w:val="24"/>
          <w:highlight w:val="none"/>
          <w:lang w:eastAsia="zh-CN"/>
        </w:rPr>
        <w:t>4.</w:t>
      </w:r>
      <w:r>
        <w:rPr>
          <w:rFonts w:hint="eastAsia" w:ascii="宋体" w:hAnsi="宋体" w:eastAsia="宋体" w:cs="宋体"/>
          <w:b/>
          <w:color w:val="auto"/>
          <w:sz w:val="24"/>
          <w:szCs w:val="24"/>
          <w:highlight w:val="none"/>
        </w:rPr>
        <w:t>消防报警、广播系统、气体监测及报警</w:t>
      </w:r>
      <w:bookmarkEnd w:id="183"/>
    </w:p>
    <w:p w14:paraId="0306DF9E">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4.1、一般要求</w:t>
      </w:r>
    </w:p>
    <w:p w14:paraId="4CCA7C2D">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（1）消防二类负荷采用双路供电，末端自动切换方式供电，保证消防负荷的供电可靠性。</w:t>
      </w:r>
    </w:p>
    <w:p w14:paraId="14504026">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消防设备的供电电缆均采用阻燃耐火WDZN-YJV-0.6/1.0，导线采用阻燃耐火WDZN-BYJ-0.45/0.75，控制电缆采用阻燃耐火WDZN-KYJY-0.45/0.75。电缆导线穿金属管沿墙暗敷或埋地，吊顶内明敷。埋墙，顶板暗敷，暗敷埋墙深度&gt;3cm。明敷处保护管做防火涂料处理。</w:t>
      </w:r>
    </w:p>
    <w:p w14:paraId="63E5AB83">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（3）人员密集场所、动物房内、实验室内、疏散走道及楼梯、配电间等处均有火灾应急照明系统。</w:t>
      </w:r>
    </w:p>
    <w:p w14:paraId="66AA7D7F">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（4）消防应急照明的照度符合以下要求：</w:t>
      </w:r>
    </w:p>
    <w:p w14:paraId="641F76DF">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a.疏散走道的地面最低照度水平不低于0.5LX。</w:t>
      </w:r>
    </w:p>
    <w:p w14:paraId="0F9E85BC">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b.人员密集场所内的地面最低照度水平不低于1.0LX。</w:t>
      </w:r>
    </w:p>
    <w:p w14:paraId="6FB03065">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c.楼梯间内的地面最低照度水平不低于5.0LX。</w:t>
      </w:r>
    </w:p>
    <w:p w14:paraId="397C8BD4">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配电室，消防泵房以及发生火灾时仍需正常工作的其他房间的消防应急照明，仍可以保证正常的照明照度。诱导标志灯距疏散走道地面0.3M明装，安全出口灯距疏散门顶0.1M明装或挂顶板，距地2.4M安装，双头灯挂墙2.4M明装，其余应急照明均吸顶或吊装。</w:t>
      </w:r>
    </w:p>
    <w:p w14:paraId="2D783622">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凡正常不带电而当绝缘破坏有可能呈现电压的一切电气设备金属外壳均应可靠接地。在配电室设总等电位联结箱MEB；将建筑物内保护干线、设备进线总管、建筑物金属构件进行可靠联结。电源系统、消防引入端、电信引入端设过电压保护装置；具有可能产生静电危害的爆炸危险区以及洁净区内可能产生闪电危害的设备、流动液体、气体或粉体管道应采取防闪电感应接地措施，洁净区内防闪电感应接地干线采用-25x4的不锈钢扁钢与MEB连接，凡需要防闪电感应的设备及管道，均采用RBV-0.5-6绝缘软铜导线就近与防静电接地干线连接。</w:t>
      </w:r>
    </w:p>
    <w:p w14:paraId="35232295">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4.2、火灾自动报警及消防联动控制系统</w:t>
      </w:r>
    </w:p>
    <w:p w14:paraId="502A3F0C">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（1）系统设计</w:t>
      </w:r>
    </w:p>
    <w:p w14:paraId="0477C393">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根据建筑物的使用性质、火灾危险性、疏散和扑救难度等，火灾报警系统按集中报警系统设计。</w:t>
      </w:r>
    </w:p>
    <w:p w14:paraId="6A270862">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系统组成：火灾报警控制器、消防联动控制台、消防专用电话总机、消防控制图形显示装置等。</w:t>
      </w:r>
    </w:p>
    <w:p w14:paraId="3D551220">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园区综合楼设有消防控制中心为全厂消控中心，并设119直通电话。</w:t>
      </w:r>
    </w:p>
    <w:p w14:paraId="07EBA820">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（2）探测器的设置</w:t>
      </w:r>
    </w:p>
    <w:p w14:paraId="0B0BA3D7">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在屏障区域、办公室、会议室、楼梯间、走廊等辅房设置感烟探测器；有蒸汽</w:t>
      </w:r>
      <w:r>
        <w:rPr>
          <w:rFonts w:hint="eastAsia" w:ascii="宋体" w:hAnsi="宋体" w:eastAsia="宋体" w:cs="宋体"/>
          <w:color w:val="auto"/>
          <w:sz w:val="24"/>
          <w:szCs w:val="24"/>
          <w:highlight w:val="none"/>
          <w:lang w:eastAsia="zh-CN"/>
        </w:rPr>
        <w:t>泄漏</w:t>
      </w:r>
      <w:r>
        <w:rPr>
          <w:rFonts w:hint="eastAsia" w:ascii="宋体" w:hAnsi="宋体" w:eastAsia="宋体" w:cs="宋体"/>
          <w:color w:val="auto"/>
          <w:sz w:val="24"/>
          <w:szCs w:val="24"/>
          <w:highlight w:val="none"/>
        </w:rPr>
        <w:t>等烟感不适用区域采用温感探测器。</w:t>
      </w:r>
    </w:p>
    <w:p w14:paraId="13B18D26">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（3）手动报警按钮的设置</w:t>
      </w:r>
    </w:p>
    <w:p w14:paraId="278D36A5">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在各层主要出入口、疏散楼梯口及人员通道处，适当设置手动报警按钮，且防火分区内任意位置至手报按钮的步行距离不超过30米。</w:t>
      </w:r>
    </w:p>
    <w:p w14:paraId="3EA23C42">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（4）消防联动控制</w:t>
      </w:r>
    </w:p>
    <w:p w14:paraId="4E609C54">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消防联动控制按设定的控制逻辑向各相关的受控设备发出联动控制信号，并接受相关设备的联动反馈信号。</w:t>
      </w:r>
    </w:p>
    <w:p w14:paraId="6AF2032B">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联动触发信号采用两个独立的报警触发装置报警信号的“与”逻辑组合。</w:t>
      </w:r>
    </w:p>
    <w:p w14:paraId="0D096214">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消防水泵、防烟和排烟风机等消防设备，除采用联动控制方式外，在消防控制室设置手动直接控制装置。</w:t>
      </w:r>
    </w:p>
    <w:p w14:paraId="4BBCDDC4">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火警发生，启动建筑内的所有火灾声光警报器（应能同时启动和停止）；按防火分区切断有关部位非消防电源，当需要切断正常照明时，在自动喷淋系统、消火栓系统动作前切断；按防火分区启动紧急疏散照明；开启该区域的排烟口及相应的排烟风机；当防烟分区内排烟口全部熔断或风机前防火阀熔断后，关闭此排烟风机；切断门禁及气闸联锁控制器电源，使门解锁；同时向全楼进行应急广播，并且火灾声警报应与消防应急广播交替循环播放。</w:t>
      </w:r>
    </w:p>
    <w:p w14:paraId="2D2B47AB">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（5）消防电话系统</w:t>
      </w:r>
    </w:p>
    <w:p w14:paraId="43750CE7">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在配电间、消防机房等规范要求场所设消防专用电话分机。</w:t>
      </w:r>
    </w:p>
    <w:p w14:paraId="1756B2A9">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消防控制室内设置消防专用电话总机；在消防水泵房、变配电室等规范要求场所设消防专用电话分机；消防控制室设置可直接报警的119外线电话。</w:t>
      </w:r>
    </w:p>
    <w:p w14:paraId="54902E55">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消防电话网络为独立的消防通信系统。</w:t>
      </w:r>
    </w:p>
    <w:p w14:paraId="0A6ECC52">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（6）线路敷设</w:t>
      </w:r>
    </w:p>
    <w:p w14:paraId="0B2A7F61">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火警系统的供电线路、消防联动控制线路采用耐火铜芯电线电缆，报警总线和消防专用电话等传输线路采用阻燃耐火电线电缆。</w:t>
      </w:r>
    </w:p>
    <w:p w14:paraId="3C7E1C00">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所有火警电缆穿钢管保护。管线暗敷时应敷设在不燃烧体的结构层内，且保护层厚度不小于30mm。</w:t>
      </w:r>
    </w:p>
    <w:p w14:paraId="762B55F7">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（7）供电</w:t>
      </w:r>
    </w:p>
    <w:p w14:paraId="5688667D">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消防用电设备的配电装置均采用专用回路双电源供电，并在末端配电装置处设置自动切换装置。直流备用电源采用火灾报警控制器的专用蓄电池。</w:t>
      </w:r>
    </w:p>
    <w:p w14:paraId="6C522203">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（8）接地</w:t>
      </w:r>
    </w:p>
    <w:p w14:paraId="7A1C2838">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采用共用接地装置时，接地电阻值不应大于1Ω；采用专用接地装置时，接地电阻值不应大于4Ω。</w:t>
      </w:r>
    </w:p>
    <w:p w14:paraId="55CF92C2">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消防控制室内的电气和电子设备的金属外壳、机柜、机架和金属管、槽等，应采用等电位连接。</w:t>
      </w:r>
    </w:p>
    <w:p w14:paraId="69DDCB21">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由消防控制室接地板引至各消防电子设备的专用接地线应选用铜芯绝缘导线，其线芯截面面积不应小于4mm²。</w:t>
      </w:r>
    </w:p>
    <w:p w14:paraId="07D6E615">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消防控制室接地板与建筑接地体之间，应采用线芯截面积不小于25mm²的铜芯绝缘导线连接。</w:t>
      </w:r>
    </w:p>
    <w:p w14:paraId="6AF77C7B">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（9）气体报警系统</w:t>
      </w:r>
    </w:p>
    <w:p w14:paraId="48B089B1">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通用气体报警系统由以下这些元件组成：气体探测器、气体报警器、信号电缆以及声光报警器。</w:t>
      </w:r>
    </w:p>
    <w:p w14:paraId="089A40AD">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采用气体检测系统对可能存在对人体或环境有害的气体的区域进行气体的连续测量。</w:t>
      </w:r>
    </w:p>
    <w:p w14:paraId="61760352">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所有的气体探测器的信号传送至气体报警器。报警器上的显示模块单独显示探测点的数值，并能输出报警信号。</w:t>
      </w:r>
    </w:p>
    <w:p w14:paraId="71DEE637">
      <w:pPr>
        <w:widowControl/>
        <w:adjustRightInd w:val="0"/>
        <w:snapToGrid w:val="0"/>
        <w:spacing w:line="360" w:lineRule="auto"/>
        <w:ind w:firstLine="120" w:firstLineChars="5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气体探测器按规范要求在气体释放源附近设置。</w:t>
      </w:r>
    </w:p>
    <w:p w14:paraId="26FFFE0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气体报警系统设计：可燃气体报警设定值为2。</w:t>
      </w:r>
    </w:p>
    <w:p w14:paraId="25334702">
      <w:pPr>
        <w:spacing w:line="360" w:lineRule="auto"/>
        <w:ind w:firstLine="126" w:firstLineChars="50"/>
        <w:outlineLvl w:val="0"/>
        <w:rPr>
          <w:rFonts w:hint="eastAsia" w:ascii="宋体" w:hAnsi="宋体" w:eastAsia="宋体" w:cs="宋体"/>
          <w:b/>
          <w:bCs/>
          <w:color w:val="auto"/>
          <w:w w:val="105"/>
          <w:sz w:val="24"/>
          <w:szCs w:val="24"/>
          <w:highlight w:val="none"/>
        </w:rPr>
      </w:pPr>
      <w:bookmarkStart w:id="184" w:name="_Toc32928344"/>
      <w:bookmarkStart w:id="185" w:name="_Toc14127"/>
      <w:bookmarkStart w:id="186" w:name="_Toc907"/>
      <w:r>
        <w:rPr>
          <w:rFonts w:hint="eastAsia" w:ascii="宋体" w:hAnsi="宋体" w:eastAsia="宋体" w:cs="宋体"/>
          <w:b/>
          <w:bCs/>
          <w:color w:val="auto"/>
          <w:w w:val="105"/>
          <w:sz w:val="24"/>
          <w:szCs w:val="24"/>
          <w:highlight w:val="none"/>
        </w:rPr>
        <w:t>（六）给排水、气体</w:t>
      </w:r>
      <w:bookmarkEnd w:id="184"/>
      <w:bookmarkEnd w:id="185"/>
      <w:bookmarkEnd w:id="186"/>
    </w:p>
    <w:p w14:paraId="03CD2D95">
      <w:pPr>
        <w:widowControl/>
        <w:spacing w:line="360" w:lineRule="auto"/>
        <w:ind w:firstLine="120" w:firstLineChars="50"/>
        <w:jc w:val="left"/>
        <w:outlineLvl w:val="1"/>
        <w:rPr>
          <w:rFonts w:hint="eastAsia" w:ascii="宋体" w:hAnsi="宋体" w:eastAsia="宋体" w:cs="宋体"/>
          <w:b/>
          <w:color w:val="auto"/>
          <w:sz w:val="24"/>
          <w:szCs w:val="24"/>
          <w:highlight w:val="none"/>
        </w:rPr>
      </w:pPr>
      <w:bookmarkStart w:id="187" w:name="_Toc9398"/>
      <w:bookmarkStart w:id="188" w:name="_Toc6848"/>
      <w:r>
        <w:rPr>
          <w:rFonts w:hint="eastAsia" w:ascii="宋体" w:hAnsi="宋体" w:eastAsia="宋体" w:cs="宋体"/>
          <w:b/>
          <w:color w:val="auto"/>
          <w:sz w:val="24"/>
          <w:szCs w:val="24"/>
          <w:highlight w:val="none"/>
          <w:lang w:eastAsia="zh-CN"/>
        </w:rPr>
        <w:t>1.</w:t>
      </w:r>
      <w:r>
        <w:rPr>
          <w:rFonts w:hint="eastAsia" w:ascii="宋体" w:hAnsi="宋体" w:eastAsia="宋体" w:cs="宋体"/>
          <w:b/>
          <w:color w:val="auto"/>
          <w:sz w:val="24"/>
          <w:szCs w:val="24"/>
          <w:highlight w:val="none"/>
        </w:rPr>
        <w:t>软水处理设备</w:t>
      </w:r>
      <w:bookmarkEnd w:id="187"/>
      <w:bookmarkEnd w:id="188"/>
    </w:p>
    <w:p w14:paraId="5B369B40">
      <w:pPr>
        <w:widowControl/>
        <w:adjustRightInd w:val="0"/>
        <w:snapToGrid w:val="0"/>
        <w:spacing w:line="360" w:lineRule="auto"/>
        <w:ind w:firstLine="120" w:firstLineChars="50"/>
        <w:textAlignment w:val="baseline"/>
        <w:rPr>
          <w:rFonts w:hint="eastAsia" w:ascii="宋体" w:hAnsi="宋体" w:eastAsia="宋体" w:cs="宋体"/>
          <w:color w:val="auto"/>
          <w:kern w:val="0"/>
          <w:sz w:val="24"/>
          <w:szCs w:val="24"/>
          <w:highlight w:val="none"/>
        </w:rPr>
      </w:pPr>
      <w:r>
        <w:rPr>
          <w:rFonts w:hint="eastAsia" w:ascii="宋体" w:hAnsi="宋体" w:eastAsia="宋体" w:cs="宋体"/>
          <w:b/>
          <w:color w:val="auto"/>
          <w:sz w:val="24"/>
          <w:szCs w:val="24"/>
          <w:highlight w:val="none"/>
        </w:rPr>
        <w:t>1.1技术参数：</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2060"/>
        <w:gridCol w:w="2344"/>
        <w:gridCol w:w="972"/>
        <w:gridCol w:w="4330"/>
      </w:tblGrid>
      <w:tr w14:paraId="50D6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455" w:type="pct"/>
            <w:noWrap w:val="0"/>
            <w:vAlign w:val="center"/>
          </w:tcPr>
          <w:p w14:paraId="3F65850F">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964" w:type="pct"/>
            <w:noWrap w:val="0"/>
            <w:vAlign w:val="center"/>
          </w:tcPr>
          <w:p w14:paraId="76F1A78C">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设备名称</w:t>
            </w:r>
          </w:p>
        </w:tc>
        <w:tc>
          <w:tcPr>
            <w:tcW w:w="1097" w:type="pct"/>
            <w:noWrap w:val="0"/>
            <w:vAlign w:val="center"/>
          </w:tcPr>
          <w:p w14:paraId="59237225">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基本参数</w:t>
            </w:r>
          </w:p>
        </w:tc>
        <w:tc>
          <w:tcPr>
            <w:tcW w:w="455" w:type="pct"/>
            <w:noWrap w:val="0"/>
            <w:vAlign w:val="center"/>
          </w:tcPr>
          <w:p w14:paraId="550B654C">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2026" w:type="pct"/>
            <w:noWrap w:val="0"/>
            <w:vAlign w:val="center"/>
          </w:tcPr>
          <w:p w14:paraId="5BB75352">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主要组成部件</w:t>
            </w:r>
          </w:p>
        </w:tc>
      </w:tr>
      <w:tr w14:paraId="0E67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jc w:val="center"/>
        </w:trPr>
        <w:tc>
          <w:tcPr>
            <w:tcW w:w="455" w:type="pct"/>
            <w:noWrap w:val="0"/>
            <w:vAlign w:val="center"/>
          </w:tcPr>
          <w:p w14:paraId="69D3C02B">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64" w:type="pct"/>
            <w:noWrap w:val="0"/>
            <w:vAlign w:val="center"/>
          </w:tcPr>
          <w:p w14:paraId="1F681657">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成套软水机组</w:t>
            </w:r>
          </w:p>
        </w:tc>
        <w:tc>
          <w:tcPr>
            <w:tcW w:w="1097" w:type="pct"/>
            <w:noWrap w:val="0"/>
            <w:vAlign w:val="center"/>
          </w:tcPr>
          <w:p w14:paraId="128859ED">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产水量为2T/H</w:t>
            </w:r>
          </w:p>
          <w:p w14:paraId="4C40CDB3">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出水</w:t>
            </w:r>
            <w:r>
              <w:rPr>
                <w:rFonts w:hint="eastAsia" w:ascii="宋体" w:hAnsi="宋体" w:eastAsia="宋体" w:cs="宋体"/>
                <w:color w:val="auto"/>
                <w:sz w:val="24"/>
                <w:szCs w:val="24"/>
                <w:highlight w:val="none"/>
                <w:lang w:eastAsia="zh-CN"/>
              </w:rPr>
              <w:t>硬度</w:t>
            </w:r>
            <w:r>
              <w:rPr>
                <w:rFonts w:hint="eastAsia" w:ascii="宋体" w:hAnsi="宋体" w:eastAsia="宋体" w:cs="宋体"/>
                <w:color w:val="auto"/>
                <w:sz w:val="24"/>
                <w:szCs w:val="24"/>
                <w:highlight w:val="none"/>
              </w:rPr>
              <w:t>达到0.03mmol/L</w:t>
            </w:r>
          </w:p>
        </w:tc>
        <w:tc>
          <w:tcPr>
            <w:tcW w:w="455" w:type="pct"/>
            <w:noWrap w:val="0"/>
            <w:vAlign w:val="center"/>
          </w:tcPr>
          <w:p w14:paraId="4D53FFF0">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1套</w:t>
            </w:r>
          </w:p>
        </w:tc>
        <w:tc>
          <w:tcPr>
            <w:tcW w:w="2026" w:type="pct"/>
            <w:noWrap w:val="0"/>
            <w:vAlign w:val="center"/>
          </w:tcPr>
          <w:p w14:paraId="0DC0C420">
            <w:pPr>
              <w:spacing w:line="360"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原水泵1台，软化机组1套，盐箱1套，储水桶1座，供水泵组（水泵一备一用）</w:t>
            </w:r>
          </w:p>
        </w:tc>
      </w:tr>
    </w:tbl>
    <w:p w14:paraId="235D3B13">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　软化水装置包含：树脂罐（自动控制）、精密过滤器以及相应配管系统。</w:t>
      </w:r>
    </w:p>
    <w:p w14:paraId="5014F69C">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　全自动软水器间断方式运行时，应不少于累计12小时的交换能力，连续方式运行时，应不少于累计8小时的交换能力。</w:t>
      </w:r>
    </w:p>
    <w:p w14:paraId="32CCA1E2">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　过滤器、树脂罐体参考尺寸Φ360×1650mm，罐体外壳为玻璃钢材料，罐体表面应无脱裂、皱褶、气泡、斑痕及粘附颗粒杂质等缺陷。内衬卫生级PE材质，配套防负压保护装置，提供国家机构认可的证明文件，罐体设计工作压力0.6MPa。</w:t>
      </w:r>
    </w:p>
    <w:p w14:paraId="25CD3E38">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　全自动软水器顺流再生的反洗膨胀高度应不小于树脂层高度的40%.</w:t>
      </w:r>
    </w:p>
    <w:p w14:paraId="74ECC9DC">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　树脂：强酸型阳离子钠型交换树脂。</w:t>
      </w:r>
    </w:p>
    <w:p w14:paraId="35DF31F2">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　控制阀应为市场知名的进口产品，再生控制为顺流定量型。控制阀根据累计的流量自动启动反冲洗、再生、正洗等程序。控制器的外壳必须有接地保护装置。</w:t>
      </w:r>
    </w:p>
    <w:p w14:paraId="7681528A">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⑦　全自动软水器配套再生盐箱必须选用具有抗氯化钠腐蚀的材料制造。再生盐箱的有限容积，应在指定的盐液浓度范围内，满足全自动软水器一次再生用量，并且便于加盐操作。</w:t>
      </w:r>
    </w:p>
    <w:p w14:paraId="78A5A4EB">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⑧　运行指标要求：盐耗：＜100g/mol，水耗：＜产水量2%，运行阻力：＜0.03Mpa。</w:t>
      </w:r>
    </w:p>
    <w:p w14:paraId="0DE8295A">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⑨　设备配置不小于2m³的水箱，材质PE，配套液位控制器，满足控制需要。</w:t>
      </w:r>
    </w:p>
    <w:p w14:paraId="69E88744">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⑩　设备配置分配系统，采用恒压变频控制，流量5m³/hr，扬程45米。</w:t>
      </w:r>
    </w:p>
    <w:p w14:paraId="4F6FFB91">
      <w:pPr>
        <w:widowControl/>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⑪　具备独立电控系统，与储水单元、分配系统联动，实现设备自动运行、自动再生、自动反洗、自动送水等运行操作。</w:t>
      </w:r>
    </w:p>
    <w:p w14:paraId="056C5182">
      <w:pPr>
        <w:tabs>
          <w:tab w:val="left" w:pos="2160"/>
        </w:tabs>
        <w:autoSpaceDE w:val="0"/>
        <w:autoSpaceDN w:val="0"/>
        <w:adjustRightInd w:val="0"/>
        <w:spacing w:line="360" w:lineRule="auto"/>
        <w:ind w:firstLine="120" w:firstLineChars="50"/>
        <w:outlineLvl w:val="1"/>
        <w:rPr>
          <w:rFonts w:hint="eastAsia" w:ascii="宋体" w:hAnsi="宋体" w:eastAsia="宋体" w:cs="宋体"/>
          <w:color w:val="auto"/>
          <w:sz w:val="24"/>
          <w:szCs w:val="24"/>
          <w:highlight w:val="none"/>
        </w:rPr>
      </w:pPr>
      <w:bookmarkStart w:id="189" w:name="_Toc10974"/>
      <w:bookmarkStart w:id="190" w:name="_Toc231992318"/>
      <w:bookmarkStart w:id="191" w:name="_Toc12284"/>
      <w:r>
        <w:rPr>
          <w:rFonts w:hint="eastAsia" w:ascii="宋体" w:hAnsi="宋体" w:eastAsia="宋体" w:cs="宋体"/>
          <w:b/>
          <w:bCs/>
          <w:color w:val="auto"/>
          <w:sz w:val="24"/>
          <w:szCs w:val="24"/>
          <w:highlight w:val="none"/>
          <w:lang w:eastAsia="zh-CN"/>
        </w:rPr>
        <w:t>2.</w:t>
      </w:r>
      <w:r>
        <w:rPr>
          <w:rFonts w:hint="eastAsia" w:ascii="宋体" w:hAnsi="宋体" w:eastAsia="宋体" w:cs="宋体"/>
          <w:b/>
          <w:bCs/>
          <w:color w:val="auto"/>
          <w:kern w:val="0"/>
          <w:sz w:val="24"/>
          <w:szCs w:val="24"/>
          <w:highlight w:val="none"/>
          <w:lang w:bidi="ar"/>
        </w:rPr>
        <w:t>成套污水处理装置</w:t>
      </w:r>
      <w:bookmarkEnd w:id="189"/>
      <w:bookmarkEnd w:id="190"/>
      <w:bookmarkEnd w:id="191"/>
    </w:p>
    <w:p w14:paraId="73578052">
      <w:pPr>
        <w:spacing w:line="360" w:lineRule="auto"/>
        <w:ind w:firstLine="120" w:firstLineChars="50"/>
        <w:rPr>
          <w:rFonts w:hint="eastAsia" w:ascii="宋体" w:hAnsi="宋体" w:eastAsia="宋体" w:cs="宋体"/>
          <w:color w:val="auto"/>
          <w:sz w:val="24"/>
          <w:szCs w:val="24"/>
          <w:highlight w:val="none"/>
        </w:rPr>
      </w:pPr>
      <w:bookmarkStart w:id="192" w:name="_Toc231992320"/>
      <w:bookmarkStart w:id="193" w:name="_Toc1001"/>
      <w:r>
        <w:rPr>
          <w:rFonts w:hint="eastAsia" w:ascii="宋体" w:hAnsi="宋体" w:eastAsia="宋体" w:cs="宋体"/>
          <w:color w:val="auto"/>
          <w:sz w:val="24"/>
          <w:szCs w:val="24"/>
          <w:highlight w:val="none"/>
        </w:rPr>
        <w:t>2.1、总体要求</w:t>
      </w:r>
      <w:bookmarkEnd w:id="192"/>
      <w:bookmarkEnd w:id="193"/>
    </w:p>
    <w:p w14:paraId="46F42DD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对实验室运行过程中产生的各类废水进行收集、处理、达标排放的全自动一体化处理系统。系统具备耐腐蚀、自动化程度高、操作维护简便等特点，能够长期稳定运行。</w:t>
      </w:r>
    </w:p>
    <w:p w14:paraId="58EEF4C6">
      <w:pPr>
        <w:spacing w:line="360" w:lineRule="auto"/>
        <w:ind w:firstLine="120" w:firstLineChars="50"/>
        <w:rPr>
          <w:rFonts w:hint="eastAsia" w:ascii="宋体" w:hAnsi="宋体" w:eastAsia="宋体" w:cs="宋体"/>
          <w:color w:val="auto"/>
          <w:sz w:val="24"/>
          <w:szCs w:val="24"/>
          <w:highlight w:val="none"/>
        </w:rPr>
      </w:pPr>
      <w:bookmarkStart w:id="194" w:name="_Toc231992321"/>
      <w:bookmarkStart w:id="195" w:name="_Toc13857"/>
      <w:r>
        <w:rPr>
          <w:rFonts w:hint="eastAsia" w:ascii="宋体" w:hAnsi="宋体" w:eastAsia="宋体" w:cs="宋体"/>
          <w:color w:val="auto"/>
          <w:sz w:val="24"/>
          <w:szCs w:val="24"/>
          <w:highlight w:val="none"/>
        </w:rPr>
        <w:t>2.2、废水处理要求</w:t>
      </w:r>
      <w:bookmarkEnd w:id="194"/>
      <w:bookmarkEnd w:id="195"/>
    </w:p>
    <w:p w14:paraId="61ED40D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（1）处理后出水执行《污水综合排放标准》（GB8978-1996）表2中的三级标准。</w:t>
      </w:r>
    </w:p>
    <w:p w14:paraId="7557177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（2）处理工艺：实验室废水→收集调节池→混凝池→絮凝池→初沉池→缺氧池→好氧池→二沉池→消毒池→达标排放。</w:t>
      </w:r>
    </w:p>
    <w:p w14:paraId="149D1D9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2.3、技术要求：</w:t>
      </w:r>
    </w:p>
    <w:p w14:paraId="0F594B2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（1）槽体材质：碳钢内衬玻璃钢防腐 。</w:t>
      </w:r>
    </w:p>
    <w:p w14:paraId="0EFD82D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（2）处理模式：工艺采用模块化设计，根据实验室废水种类和排放指标不同，可选用不同的处理技术，完全达到相关排放标准。</w:t>
      </w:r>
    </w:p>
    <w:p w14:paraId="01E4EEB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（3）设备采用收集调节、絮凝（或相关药剂）、沉淀、A/O生化反应器、消毒氧化等相关先进技术处理实验室废水中有可能存在的悬浮物、无机物、有机物、生物类、重金属、微生物等各类污染物。</w:t>
      </w:r>
    </w:p>
    <w:p w14:paraId="3761969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（4）PLC系统可监控点位不得少于45个。</w:t>
      </w:r>
    </w:p>
    <w:p w14:paraId="162B4BD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（5）设备控制方式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采用10寸液晶触摸屏，可编程智能控制系统及人机界面操作智能控制系统，全系统自动运行，无需专人看守。</w:t>
      </w:r>
    </w:p>
    <w:p w14:paraId="36F7B91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（6）配置进污提升泵2台，一用一备。</w:t>
      </w:r>
    </w:p>
    <w:p w14:paraId="3A73C23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（7）采用一线品牌变频器，采用自主研发的变频恒流技术，确保污水匀速流过处理系统，避免污水瞬时流量过大引起的处理不合格问题。</w:t>
      </w:r>
    </w:p>
    <w:p w14:paraId="1C3299B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屏幕上数字显示缺药报警装置。药剂箱剩余药剂量实时显示在触摸屏上，可在触摸屏上一键加水，自动停水，停水自动启动搅拌，搅拌完成自动停止。屏幕上精准显示加药箱内药剂克数。用户可自由修改所用固态药剂的纯度和配药浓度，系统根据设置参数自动配药策略。</w:t>
      </w:r>
    </w:p>
    <w:p w14:paraId="20D0A35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（9）自动保护功能：漏水或漏电自动保护功能、高低压自动保护功能、无废水保护功能；处理单元液位保护功能（含远程报警）、电气设备超负荷保护功能、电气线路过载保护功能。</w:t>
      </w:r>
    </w:p>
    <w:p w14:paraId="285CD5B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（10）定时自动清洗功能：系统定时对需要清洗的部件进行自动清洗，部件使用寿命更长。</w:t>
      </w:r>
    </w:p>
    <w:p w14:paraId="161A32F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（11）运行成本低：系统功率小，耗能低；运行稳定，故障少，维护成本低；耗材使用寿命长，耗材成本低；按比例自动投药，药品耗量少。</w:t>
      </w:r>
    </w:p>
    <w:p w14:paraId="520E53D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（12）环境友好：系统选用复式静音电机和防腐泵，噪音低；全程采用密闭式处理，无异味，无泄漏，不会产生废渣、废水、废气等二次对环境的污染。</w:t>
      </w:r>
    </w:p>
    <w:p w14:paraId="1DB2324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（13）多级导航式菜单（单独的“主页</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消息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运维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用户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设置、“调试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加药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帮助”等界面菜单）。</w:t>
      </w:r>
    </w:p>
    <w:p w14:paraId="5A80BB8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所有水位计、电磁阀、继电器带有开关计数功能，达到设定次数后有维护提示。所有水泵带有累积运行时间功能，达到设定时间后有维护提示。所有模拟量传感器带有累积使用时间功能，达到设定时间后有校准或更换提示。所有易耗件带有累积运行时间功能，达到设定时间后有更换提示。</w:t>
      </w:r>
    </w:p>
    <w:p w14:paraId="0C24801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（15）可编程序智能控制系统及人机界面操作系统：系统的控制采用PLC+高清液晶触摸屏+远程操控系统完成电气和仪表部分的自动控制与监控，LCD液晶中文显示、</w:t>
      </w:r>
      <w:r>
        <w:rPr>
          <w:rFonts w:hint="eastAsia" w:ascii="宋体" w:hAnsi="宋体" w:eastAsia="宋体" w:cs="宋体"/>
          <w:color w:val="auto"/>
          <w:sz w:val="24"/>
          <w:szCs w:val="24"/>
          <w:highlight w:val="none"/>
          <w:lang w:eastAsia="zh-CN"/>
        </w:rPr>
        <w:t>具有</w:t>
      </w:r>
      <w:r>
        <w:rPr>
          <w:rFonts w:hint="eastAsia" w:ascii="宋体" w:hAnsi="宋体" w:eastAsia="宋体" w:cs="宋体"/>
          <w:color w:val="auto"/>
          <w:sz w:val="24"/>
          <w:szCs w:val="24"/>
          <w:highlight w:val="none"/>
        </w:rPr>
        <w:t>人机对话功能，时钟和语言设定功能，开机时设备电控系统自动检测，全自动处理废水、针对不同废水的成分和浓度，控制系统自动进行计算然后按比例进行自动投放药品，更加科学化和合理化，基础功能如下：</w:t>
      </w:r>
    </w:p>
    <w:p w14:paraId="2DADFE7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a.设备的各项操作都能通过远程监控和操作来实现，如设备的启停、冲洗、排污等功能；</w:t>
      </w:r>
    </w:p>
    <w:p w14:paraId="407BEA7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远程监控显示各单元运行状态，如动画式流程图、水箱水位、水质不合格时自动报警及回流处理并跟踪记录、水泵运行状况、仪器仪表运行状况等；</w:t>
      </w:r>
    </w:p>
    <w:p w14:paraId="3217A29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b.设有停水、停电、过载等非正常状态自动保护、故障自动报警及处理功能；</w:t>
      </w:r>
    </w:p>
    <w:p w14:paraId="23FA0D3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c.系统可自动提示用户主机相关部件更换以及</w:t>
      </w:r>
      <w:r>
        <w:rPr>
          <w:rFonts w:hint="eastAsia" w:ascii="宋体" w:hAnsi="宋体" w:eastAsia="宋体" w:cs="宋体"/>
          <w:color w:val="auto"/>
          <w:sz w:val="24"/>
          <w:szCs w:val="24"/>
          <w:highlight w:val="none"/>
          <w:lang w:eastAsia="zh-CN"/>
        </w:rPr>
        <w:t>其他</w:t>
      </w:r>
      <w:r>
        <w:rPr>
          <w:rFonts w:hint="eastAsia" w:ascii="宋体" w:hAnsi="宋体" w:eastAsia="宋体" w:cs="宋体"/>
          <w:color w:val="auto"/>
          <w:sz w:val="24"/>
          <w:szCs w:val="24"/>
          <w:highlight w:val="none"/>
        </w:rPr>
        <w:t>系统内部自检信息；</w:t>
      </w:r>
    </w:p>
    <w:p w14:paraId="5295049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d.能自动记录和管理历史运行水质数据与分析，并可形成报表；</w:t>
      </w:r>
    </w:p>
    <w:p w14:paraId="7913E99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e.系统具有完备的提示功能：系统可提示用户更换耗材、系统内部自检信息等，让用户完全对系统的运行状态一目了然；</w:t>
      </w:r>
    </w:p>
    <w:p w14:paraId="39AF37E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控制系统同一界面显示所有监控参数，泵、阀、仪器仪表等工作状态一目了然；在手动模式下可以在触摸屏上对单个泵、阀进行控制，无论采用自动控制还是手动控制，均能实现系统相关运行环节的联锁控制，并互不干涉。</w:t>
      </w:r>
    </w:p>
    <w:p w14:paraId="6DC77CF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（16）开关机功能：具备多种开关机实现模式</w:t>
      </w:r>
      <w:r>
        <w:rPr>
          <w:rFonts w:hint="eastAsia" w:ascii="宋体" w:hAnsi="宋体" w:eastAsia="宋体" w:cs="宋体"/>
          <w:color w:val="auto"/>
          <w:sz w:val="24"/>
          <w:szCs w:val="24"/>
          <w:highlight w:val="none"/>
          <w:lang w:eastAsia="zh-CN"/>
        </w:rPr>
        <w:t>：</w:t>
      </w:r>
    </w:p>
    <w:p w14:paraId="58D50FE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a.定时开关机功能：设备可以根据客户的情况设定早上自动开机时间和晚上自动关机时间，时间设定后，设备每天早上自动定时开机，晚上自动定时关机，免去操作人员每天早上和晚上去设备处理间开机和关机；</w:t>
      </w:r>
    </w:p>
    <w:p w14:paraId="72FFE36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b.自动开关机功能：通过液位传感进行自动判断开关机，液位指数可调。</w:t>
      </w:r>
    </w:p>
    <w:p w14:paraId="0E628E7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（17）远程监控及操作功能：在办公室或中控室通过微机或中控机里安装的远程控制软件对废水处理间里的废水处理系统进行远程监控、运行操作和远程管理；</w:t>
      </w:r>
      <w:r>
        <w:rPr>
          <w:rFonts w:hint="eastAsia" w:ascii="宋体" w:hAnsi="宋体" w:eastAsia="宋体" w:cs="宋体"/>
          <w:color w:val="auto"/>
          <w:sz w:val="24"/>
          <w:szCs w:val="24"/>
          <w:highlight w:val="none"/>
          <w:lang w:eastAsia="zh-CN"/>
        </w:rPr>
        <w:t>实时</w:t>
      </w:r>
      <w:r>
        <w:rPr>
          <w:rFonts w:hint="eastAsia" w:ascii="宋体" w:hAnsi="宋体" w:eastAsia="宋体" w:cs="宋体"/>
          <w:color w:val="auto"/>
          <w:sz w:val="24"/>
          <w:szCs w:val="24"/>
          <w:highlight w:val="none"/>
        </w:rPr>
        <w:t>了解设备的运行情况和运行状态。</w:t>
      </w:r>
    </w:p>
    <w:p w14:paraId="23B56BB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a.远程访问桌面：可同步查看远程人机界面的屏幕，能使用本地鼠标键盘如操作本机一样操作远程设备上的人机界面；</w:t>
      </w:r>
    </w:p>
    <w:p w14:paraId="2313807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b.远程文件管理：远程修改、运行文件，实现连接两端的资源共享，用于远程办公等；</w:t>
      </w:r>
    </w:p>
    <w:p w14:paraId="42033ED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c.远程命令控制：远程开机、远程关机、远程重启、远程注销、锁定本地或远端程序等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1112741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d.控制软件是正规合法的软件，不会被杀毒软件当作病毒查杀，不会影响系统的稳定性，完全免费的远程控制软件。</w:t>
      </w:r>
    </w:p>
    <w:p w14:paraId="3C5E083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系统稳定安全：稳定的工业控制计算机，可靠的硬件平台和软件管理系统，对模块结构、网络通讯、服务器设备等方面进行安全的设计和运用，通过正规合法的软件管理为系统稳定运行提供完善的管理机制、控制手段和报警监控等技术措施；</w:t>
      </w:r>
    </w:p>
    <w:p w14:paraId="0F956142">
      <w:pPr>
        <w:spacing w:line="360" w:lineRule="auto"/>
        <w:ind w:firstLine="120" w:firstLineChars="50"/>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（19）高度兼容：系统功能模块和扩展性可根据实际需要灵活选择和建设，以适应各种需求。支持多种接口及通讯方式，包括RS232、RS485、RJ45等接口及WAN/</w:t>
      </w:r>
      <w:r>
        <w:rPr>
          <w:rFonts w:hint="eastAsia" w:ascii="宋体" w:hAnsi="宋体" w:eastAsia="宋体" w:cs="宋体"/>
          <w:color w:val="auto"/>
          <w:sz w:val="24"/>
          <w:szCs w:val="24"/>
          <w:highlight w:val="none"/>
          <w:lang w:eastAsia="zh-CN"/>
        </w:rPr>
        <w:t>Wi-Fi</w:t>
      </w:r>
      <w:r>
        <w:rPr>
          <w:rFonts w:hint="eastAsia" w:ascii="宋体" w:hAnsi="宋体" w:eastAsia="宋体" w:cs="宋体"/>
          <w:color w:val="auto"/>
          <w:sz w:val="24"/>
          <w:szCs w:val="24"/>
          <w:highlight w:val="none"/>
        </w:rPr>
        <w:t>/4G等各类网络，兼容Modbus RTU及TCP/IP等通信协议。</w:t>
      </w:r>
    </w:p>
    <w:p w14:paraId="7B7E637B">
      <w:pPr>
        <w:spacing w:line="360" w:lineRule="auto"/>
        <w:rPr>
          <w:rFonts w:hint="eastAsia" w:ascii="宋体" w:hAnsi="宋体" w:eastAsia="宋体" w:cs="宋体"/>
          <w:b/>
          <w:bCs/>
          <w:color w:val="auto"/>
          <w:spacing w:val="-4"/>
          <w:sz w:val="28"/>
          <w:szCs w:val="28"/>
          <w:highlight w:val="none"/>
          <w:lang w:val="en-US" w:eastAsia="zh-CN"/>
        </w:rPr>
      </w:pPr>
      <w:r>
        <w:rPr>
          <w:rFonts w:hint="eastAsia" w:ascii="宋体" w:hAnsi="宋体" w:eastAsia="宋体" w:cs="宋体"/>
          <w:b/>
          <w:bCs/>
          <w:color w:val="auto"/>
          <w:spacing w:val="-4"/>
          <w:sz w:val="28"/>
          <w:szCs w:val="28"/>
          <w:highlight w:val="none"/>
        </w:rPr>
        <w:t>五、</w:t>
      </w:r>
      <w:r>
        <w:rPr>
          <w:rFonts w:hint="eastAsia" w:ascii="宋体" w:hAnsi="宋体" w:eastAsia="宋体" w:cs="宋体"/>
          <w:b/>
          <w:bCs/>
          <w:color w:val="auto"/>
          <w:spacing w:val="-4"/>
          <w:sz w:val="28"/>
          <w:szCs w:val="28"/>
          <w:highlight w:val="none"/>
          <w:lang w:val="en-US" w:eastAsia="zh-CN"/>
        </w:rPr>
        <w:t>其他技术要求</w:t>
      </w:r>
    </w:p>
    <w:p w14:paraId="722F88CB">
      <w:pPr>
        <w:keepNext w:val="0"/>
        <w:keepLines w:val="0"/>
        <w:pageBreakBefore w:val="0"/>
        <w:widowControl w:val="0"/>
        <w:tabs>
          <w:tab w:val="left" w:pos="2160"/>
        </w:tabs>
        <w:kinsoku/>
        <w:wordWrap/>
        <w:overflowPunct/>
        <w:topLinePunct w:val="0"/>
        <w:autoSpaceDE w:val="0"/>
        <w:autoSpaceDN w:val="0"/>
        <w:bidi w:val="0"/>
        <w:adjustRightInd w:val="0"/>
        <w:snapToGrid/>
        <w:spacing w:line="360" w:lineRule="auto"/>
        <w:ind w:firstLine="0" w:firstLineChars="0"/>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1.专项节能要求</w:t>
      </w:r>
    </w:p>
    <w:p w14:paraId="1859F40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专项节能</w:t>
      </w:r>
      <w:r>
        <w:rPr>
          <w:rFonts w:hint="eastAsia" w:ascii="宋体" w:hAnsi="宋体" w:eastAsia="宋体" w:cs="宋体"/>
          <w:color w:val="auto"/>
          <w:sz w:val="24"/>
          <w:szCs w:val="24"/>
          <w:highlight w:val="none"/>
        </w:rPr>
        <w:t>技术要求：</w:t>
      </w:r>
    </w:p>
    <w:p w14:paraId="2090E579">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本项目动物房饲养区采用全新风直流系统，空调系统全年24 h不间断运行，新风负荷在空调总负荷中占比最大，蒸发冷凝与热回收的节能贡献须以可计量、可验收的参数锁定。设计及设备选型应同时满足GB 55015—2021、GB 50189—2015、GB 19577—2024、GB 14925—2023、GB 50447及湖南省《公共建筑节能设计标准》DBJ 43/003—2017的相关规定。节能专项的总体目标为：冷凝热回收与排风热回收合计承担的新风负荷比例不低于25%，结合设备选型、能耗计量能控措施、利用蒸发冷凝排风热回收系统等实现设施运行能耗较常规风冷热泵系统运行能耗提升不低于30%，</w:t>
      </w:r>
    </w:p>
    <w:p w14:paraId="738C0515">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蒸发冷凝热回收</w:t>
      </w:r>
      <w:r>
        <w:rPr>
          <w:rFonts w:hint="eastAsia" w:ascii="宋体" w:hAnsi="宋体" w:eastAsia="宋体" w:cs="宋体"/>
          <w:color w:val="auto"/>
          <w:sz w:val="24"/>
          <w:szCs w:val="24"/>
          <w:highlight w:val="none"/>
        </w:rPr>
        <w:t>技术要求：</w:t>
      </w:r>
    </w:p>
    <w:p w14:paraId="4485517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en-US" w:eastAsia="zh-CN"/>
        </w:rPr>
        <w:t>1.2.1、</w:t>
      </w:r>
      <w:r>
        <w:rPr>
          <w:rFonts w:hint="eastAsia" w:ascii="宋体" w:hAnsi="宋体" w:eastAsia="宋体" w:cs="宋体"/>
          <w:color w:val="auto"/>
          <w:sz w:val="24"/>
          <w:szCs w:val="24"/>
          <w:highlight w:val="none"/>
          <w:lang w:val="zh-CN" w:eastAsia="zh-CN"/>
        </w:rPr>
        <w:t>本项目所采用的双冷源</w:t>
      </w:r>
      <w:r>
        <w:rPr>
          <w:rFonts w:hint="eastAsia" w:ascii="宋体" w:hAnsi="宋体" w:eastAsia="宋体" w:cs="宋体"/>
          <w:color w:val="auto"/>
          <w:sz w:val="24"/>
          <w:szCs w:val="24"/>
          <w:highlight w:val="none"/>
          <w:lang w:val="en-US" w:eastAsia="zh-CN"/>
        </w:rPr>
        <w:t>蒸发冷凝热回收模块</w:t>
      </w:r>
      <w:r>
        <w:rPr>
          <w:rFonts w:hint="eastAsia" w:ascii="宋体" w:hAnsi="宋体" w:eastAsia="宋体" w:cs="宋体"/>
          <w:color w:val="auto"/>
          <w:sz w:val="24"/>
          <w:szCs w:val="24"/>
          <w:highlight w:val="none"/>
          <w:lang w:val="zh-CN" w:eastAsia="zh-CN"/>
        </w:rPr>
        <w:t>是以电能作为驱动能源、热泵循环的新风处理设备，具备对新风进行净化过滤、制冷除湿、排风热回收等处理功能。</w:t>
      </w:r>
      <w:r>
        <w:rPr>
          <w:rFonts w:hint="eastAsia" w:ascii="宋体" w:hAnsi="宋体" w:eastAsia="宋体" w:cs="宋体"/>
          <w:color w:val="auto"/>
          <w:sz w:val="24"/>
          <w:szCs w:val="24"/>
          <w:highlight w:val="none"/>
          <w:lang w:val="en-US" w:eastAsia="zh-CN"/>
        </w:rPr>
        <w:t>包含：蒸发冷凝热回收模组、双冷源温湿度控制模组、自控柜等。</w:t>
      </w:r>
    </w:p>
    <w:p w14:paraId="464504E9">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en-US" w:eastAsia="zh-CN"/>
        </w:rPr>
        <w:t>1.2.2、</w:t>
      </w:r>
      <w:r>
        <w:rPr>
          <w:rFonts w:hint="eastAsia" w:ascii="宋体" w:hAnsi="宋体" w:eastAsia="宋体" w:cs="宋体"/>
          <w:color w:val="auto"/>
          <w:sz w:val="24"/>
          <w:szCs w:val="24"/>
          <w:highlight w:val="none"/>
          <w:lang w:val="zh-CN" w:eastAsia="zh-CN"/>
        </w:rPr>
        <w:t>制冷除湿模式下，</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lang w:val="zh-CN" w:eastAsia="zh-CN"/>
        </w:rPr>
        <w:t>须遵循以下</w:t>
      </w:r>
      <w:r>
        <w:rPr>
          <w:rFonts w:hint="eastAsia" w:ascii="宋体" w:hAnsi="宋体" w:eastAsia="宋体" w:cs="宋体"/>
          <w:color w:val="auto"/>
          <w:sz w:val="24"/>
          <w:szCs w:val="24"/>
          <w:highlight w:val="none"/>
          <w:lang w:val="en-US" w:eastAsia="zh-CN"/>
        </w:rPr>
        <w:t>三效智能环控</w:t>
      </w:r>
      <w:r>
        <w:rPr>
          <w:rFonts w:hint="eastAsia" w:ascii="宋体" w:hAnsi="宋体" w:eastAsia="宋体" w:cs="宋体"/>
          <w:color w:val="auto"/>
          <w:sz w:val="24"/>
          <w:szCs w:val="24"/>
          <w:highlight w:val="none"/>
          <w:lang w:val="zh-CN" w:eastAsia="zh-CN"/>
        </w:rPr>
        <w:t>流程：新风</w:t>
      </w:r>
      <w:r>
        <w:rPr>
          <w:rFonts w:hint="eastAsia" w:ascii="宋体" w:hAnsi="宋体" w:eastAsia="宋体" w:cs="宋体"/>
          <w:color w:val="auto"/>
          <w:sz w:val="24"/>
          <w:szCs w:val="24"/>
          <w:highlight w:val="none"/>
          <w:lang w:val="en-US" w:eastAsia="zh-CN"/>
        </w:rPr>
        <w:t>侧</w:t>
      </w:r>
      <w:r>
        <w:rPr>
          <w:rFonts w:hint="eastAsia" w:ascii="宋体" w:hAnsi="宋体" w:eastAsia="宋体" w:cs="宋体"/>
          <w:color w:val="auto"/>
          <w:sz w:val="24"/>
          <w:szCs w:val="24"/>
          <w:highlight w:val="none"/>
          <w:lang w:val="zh-CN" w:eastAsia="zh-CN"/>
        </w:rPr>
        <w:t>：新风---净化过滤---表冷预冷除湿---蒸发器深度除湿---冷凝器再热调温---送入室内；排风</w:t>
      </w:r>
      <w:r>
        <w:rPr>
          <w:rFonts w:hint="eastAsia" w:ascii="宋体" w:hAnsi="宋体" w:eastAsia="宋体" w:cs="宋体"/>
          <w:color w:val="auto"/>
          <w:sz w:val="24"/>
          <w:szCs w:val="24"/>
          <w:highlight w:val="none"/>
          <w:lang w:val="en-US" w:eastAsia="zh-CN"/>
        </w:rPr>
        <w:t>侧</w:t>
      </w:r>
      <w:r>
        <w:rPr>
          <w:rFonts w:hint="eastAsia" w:ascii="宋体" w:hAnsi="宋体" w:eastAsia="宋体" w:cs="宋体"/>
          <w:color w:val="auto"/>
          <w:sz w:val="24"/>
          <w:szCs w:val="24"/>
          <w:highlight w:val="none"/>
          <w:lang w:val="zh-CN" w:eastAsia="zh-CN"/>
        </w:rPr>
        <w:t>：室内排风---净化过滤---蒸发冷却---排风（</w:t>
      </w:r>
      <w:r>
        <w:rPr>
          <w:rFonts w:hint="eastAsia" w:ascii="宋体" w:hAnsi="宋体" w:eastAsia="宋体" w:cs="宋体"/>
          <w:color w:val="auto"/>
          <w:sz w:val="24"/>
          <w:szCs w:val="24"/>
          <w:highlight w:val="none"/>
          <w:lang w:val="en-US" w:eastAsia="zh-CN"/>
        </w:rPr>
        <w:t>注明：</w:t>
      </w:r>
      <w:r>
        <w:rPr>
          <w:rFonts w:hint="eastAsia" w:ascii="宋体" w:hAnsi="宋体" w:eastAsia="宋体" w:cs="宋体"/>
          <w:color w:val="auto"/>
          <w:sz w:val="24"/>
          <w:szCs w:val="24"/>
          <w:highlight w:val="none"/>
          <w:lang w:val="zh-CN" w:eastAsia="zh-CN"/>
        </w:rPr>
        <w:t>蒸发冷却</w:t>
      </w:r>
      <w:r>
        <w:rPr>
          <w:rFonts w:hint="eastAsia" w:ascii="宋体" w:hAnsi="宋体" w:eastAsia="宋体" w:cs="宋体"/>
          <w:color w:val="auto"/>
          <w:sz w:val="24"/>
          <w:szCs w:val="24"/>
          <w:highlight w:val="none"/>
          <w:lang w:val="en-US" w:eastAsia="zh-CN"/>
        </w:rPr>
        <w:t>不得使用冷冻水、冷却塔等高能耗方式</w:t>
      </w:r>
      <w:r>
        <w:rPr>
          <w:rFonts w:hint="eastAsia" w:ascii="宋体" w:hAnsi="宋体" w:eastAsia="宋体" w:cs="宋体"/>
          <w:color w:val="auto"/>
          <w:sz w:val="24"/>
          <w:szCs w:val="24"/>
          <w:highlight w:val="none"/>
          <w:lang w:val="zh-CN" w:eastAsia="zh-CN"/>
        </w:rPr>
        <w:t>）。</w:t>
      </w:r>
    </w:p>
    <w:p w14:paraId="19F2C985">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en-US" w:eastAsia="zh-CN"/>
        </w:rPr>
        <w:t>1.2.3、设备须具备环境温度波动控制精度在±0.5℃设计范围内、湿度波动控制在±2%范围内的能力；</w:t>
      </w:r>
    </w:p>
    <w:p w14:paraId="62A0765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1.2.4、为保证送风对室内的除湿效果，并为了最大程度地节省冷水机组的能耗、实现制冷系统的高效率运行，在冷冻水供水温度≥12℃时额定送风含湿量不得高于8.0g/kg干空气。</w:t>
      </w:r>
    </w:p>
    <w:p w14:paraId="4BE3FC6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1.2.5、制冷除湿模式下，机组必须采用冷凝废热对送风进行再热加热，不得采用电加热器/蒸汽盘管等高能耗加热方式进行再热加热。机组的送风温度可在15℃至25℃之间任意调节，送风温度的精度须控制在±0.5℃以内，机组送风温度从15℃再热到25℃时，机组的电功率变化量不得超过1%。</w:t>
      </w:r>
    </w:p>
    <w:p w14:paraId="39F8458A">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1.2.6、电机要求，绝缘等级F级，保护等级IP54或更高级别。</w:t>
      </w:r>
    </w:p>
    <w:p w14:paraId="57DBA170">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1.2.7、设备须自带先进、完备的智能控制系统和相配套的传感器、变频器、调节阀等，且智能控制系统与空调机组均为同一制造商制造。控制设备应具有以下功能（但不限于）：具有PID、模糊控制等先进控制技术，具有较高的自动化程度、控制精度、系统可靠性和抗干扰能力。具有能量自动调节功能，能根据用户给定的工作参数和测点数据自动调节机组能量。具有故障、报警和保护功能，能在机组发生故障时自动停机，显示并报告故障信息。具有机组本地和远程双重控制能力，并配备相应的标准化通讯接口卡，配RS485 MODBUS远程监控接口。采用全中文显示人机界面，能实时、准确显示机组运行状态和工作参数。</w:t>
      </w:r>
    </w:p>
    <w:p w14:paraId="22531069">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1.2.8、压缩机应采用变频压缩机无极控制，电动机的绕阻应通过埋入里面的热敏电阻保护，防止超温，绕组的绝缘等级应满足压缩机行业制造标准要求。对于多台压缩机组装的机组，每台压缩机都应有单独的冷剂管路，膨胀阀应为丹佛斯膨胀阀等一线品牌。压缩机置于机组内，二者作为一个整体。冷凝段配有制造工厂提供的弹簧减震器， 弹簧减振装置应设有消声垫及找平螺栓，并且应该是独立而稳定的。制冷压缩机的生产、试验、检验应按生产制造厂方的国家标准及国际标准执行，采用环保冷媒。压缩机配置安装压缩机原厂提供的减震装置，压缩机置于送风箱体内部。</w:t>
      </w:r>
    </w:p>
    <w:p w14:paraId="0E58AF0A">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1.2.9、蒸发器应具有较高的换热效率、较好的耐腐蚀性、较长的使用寿命，蒸发盘管应由紫铜管外胀有铝或铝合金翅片制成，铝箔应采用开槽片，翅片采用机械固定方法与紫铜管连接。盘管性能符合GB/T14296《空气冷却器和空气加热器》的规定。空气通过制冷盘管的最大迎风面风速不应超过2.5m/s, 若超过2.5m/s，需加挡水板或其他盘管防漂水处理措施，挡水板采用铝合金或镀锌板材质，边框厚度不小于1.5mm，叶片厚度不小于1.0mm。</w:t>
      </w:r>
    </w:p>
    <w:p w14:paraId="0099EB97">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1.2.10、排风热回收盘管应具有良好的换热性能、耐腐蚀性能及较长的使用寿命。盘管换热管、翅片、集管及边框应采用不低于SU304不锈钢材质制作，换热管采用无缝不锈钢管，翅片采用不锈钢高效翅片结构，并通过机械胀接或液压胀接方式与换热管紧密连接。盘管焊接部位应采用氩弧焊等适用于不锈钢材料的焊接工艺，焊接完成后应进行酸洗、钝化处理，以保证焊缝及热影响区的耐腐蚀性能。盘管制作完成后应进行耐压及气密性试验，不得出现泄漏、变形等缺陷。换热器结构应充分考虑动物房排风中氨气、硫化氢及高湿环境对盘管的腐蚀影响，并便于后期清洗和维护。不得采用普通紫铜管+亲水铝翅片结构替代。</w:t>
      </w:r>
    </w:p>
    <w:p w14:paraId="753484AC">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1.2.11、表冷段盘管须采用外径不小于7.94mm，厚度不小于0.35mm优质磷脱氧内螺纹无缝紫铜管，穿厚度不小于0.1mm亲水铝翅片结构，采用收缩式机械胀管技术成型，保证铜管厚度不变，铜管需采用国内优质品牌。蒸发器盘管的进面断面风速均匀度要求达到80%以上。冷却水盘管下部设置冷凝水泄水盘，冷水盘为干式接水盘，底部保温棉厚度不小于10mm，采用双向倾角折弯设计，坡度安装设计可100%顺畅排放凝水，水盘采用不小于0.5mm厚不低于304不锈钢板。采用合理结构，确保冷却盘管与挡风板之间，挡风板与机组内框的密封性。冷凝器设计、制造应考虑现场水清扫的因素。</w:t>
      </w:r>
    </w:p>
    <w:p w14:paraId="62218F6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设备选型能耗等级控制不低于2级。</w:t>
      </w:r>
    </w:p>
    <w:p w14:paraId="7B2E2CD0">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系统联合试运转期间，须在负荷率不低于50%的稳定工况下实测EER-sys、冷凝热回收率和排风热回收效率，实际运行耗电量相较常规风冷热泵系统节约30%以上。节能指标不达标，视为系统验收不合格，由投标人无偿整改。</w:t>
      </w:r>
    </w:p>
    <w:p w14:paraId="7990CCBB">
      <w:pPr>
        <w:keepNext w:val="0"/>
        <w:keepLines w:val="0"/>
        <w:pageBreakBefore w:val="0"/>
        <w:widowControl w:val="0"/>
        <w:tabs>
          <w:tab w:val="left" w:pos="2160"/>
        </w:tabs>
        <w:kinsoku/>
        <w:wordWrap/>
        <w:overflowPunct/>
        <w:topLinePunct w:val="0"/>
        <w:autoSpaceDE w:val="0"/>
        <w:autoSpaceDN w:val="0"/>
        <w:bidi w:val="0"/>
        <w:adjustRightInd w:val="0"/>
        <w:snapToGrid/>
        <w:spacing w:line="360" w:lineRule="auto"/>
        <w:ind w:firstLine="0" w:firstLineChars="0"/>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专项降噪要求</w:t>
      </w:r>
    </w:p>
    <w:p w14:paraId="57A592C3">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专项降噪</w:t>
      </w:r>
      <w:r>
        <w:rPr>
          <w:rFonts w:hint="eastAsia" w:ascii="宋体" w:hAnsi="宋体" w:eastAsia="宋体" w:cs="宋体"/>
          <w:color w:val="auto"/>
          <w:sz w:val="24"/>
          <w:szCs w:val="24"/>
          <w:highlight w:val="none"/>
        </w:rPr>
        <w:t>技术要求：</w:t>
      </w:r>
    </w:p>
    <w:p w14:paraId="00130A77">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本项目距居民区约30～40 m，声环境控制是专项设计的核心约束。厂界及敏感点噪声排放应同时满足《工业企业厂界环境噪声排放标准》（GB 12348—2008）2类标准与《社会生活环境噪声排放标准》（GB 22337—2008）2类标准：昼间≤60 dB(A)，夜间≤50 dB(A)。动物房室内噪声应满足《实验动物 环境及设施》（GB 14925）屏障环境≤60 dB(A)的要求；设备机房内噪声宜控制在≤75 dB(A)。</w:t>
      </w:r>
    </w:p>
    <w:p w14:paraId="2125A0A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2设备专项降噪</w:t>
      </w:r>
      <w:r>
        <w:rPr>
          <w:rFonts w:hint="eastAsia" w:ascii="宋体" w:hAnsi="宋体" w:eastAsia="宋体" w:cs="宋体"/>
          <w:color w:val="auto"/>
          <w:sz w:val="24"/>
          <w:szCs w:val="24"/>
          <w:highlight w:val="none"/>
        </w:rPr>
        <w:t>技术要求：</w:t>
      </w:r>
    </w:p>
    <w:p w14:paraId="112EFA04">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2.2.1</w:t>
      </w:r>
      <w:r>
        <w:rPr>
          <w:rFonts w:hint="eastAsia" w:ascii="宋体" w:hAnsi="宋体" w:eastAsia="宋体" w:cs="宋体"/>
          <w:color w:val="auto"/>
          <w:sz w:val="24"/>
          <w:szCs w:val="24"/>
          <w:highlight w:val="none"/>
        </w:rPr>
        <w:t>一体扰流喷淋除臭设备</w:t>
      </w:r>
    </w:p>
    <w:p w14:paraId="70537FC4">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 整机源强限值：距设备外壳1 m、高1.5 m处运行噪声≤70 dB(A)，优先≤65 dB(A)。</w:t>
      </w:r>
    </w:p>
    <w:p w14:paraId="378F2102">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 循环水泵隔振：配套循环水泵不得与除臭塔体刚性连接。泵体基础设置橡胶隔振垫，隔振效率≥90%；泵进出口与塔体管道之间均须设可曲挠橡胶接头，轴向位移补偿量≥10 mm，耐压等级≥1.6 MPa。</w:t>
      </w:r>
    </w:p>
    <w:p w14:paraId="2C6365C7">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 风管柔性连接：设备进、出风口与风管连接处须设柔性软接，长度≥200 mm；管道穿越围护结构处采用弹性密封，严禁刚性顶死或水泥直接封堵。</w:t>
      </w:r>
    </w:p>
    <w:p w14:paraId="7FE1B795">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4 排风侧消声：若排风管朝向居民侧，排风管内须加装片式阻抗复合消声器，长度≥1.0 m，125～250 Hz低频插入损失≥8 dB，中高频≥15 dB。</w:t>
      </w:r>
    </w:p>
    <w:p w14:paraId="07B75CB9">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2.2.2</w:t>
      </w:r>
      <w:r>
        <w:rPr>
          <w:rFonts w:hint="eastAsia" w:ascii="宋体" w:hAnsi="宋体" w:eastAsia="宋体" w:cs="宋体"/>
          <w:color w:val="auto"/>
          <w:sz w:val="24"/>
          <w:szCs w:val="24"/>
          <w:highlight w:val="none"/>
        </w:rPr>
        <w:t>水冷螺杆冷水机组</w:t>
      </w:r>
      <w:r>
        <w:rPr>
          <w:rFonts w:hint="eastAsia" w:ascii="宋体" w:hAnsi="宋体" w:eastAsia="宋体" w:cs="宋体"/>
          <w:color w:val="auto"/>
          <w:sz w:val="24"/>
          <w:szCs w:val="24"/>
          <w:highlight w:val="none"/>
          <w:lang w:eastAsia="zh-CN"/>
        </w:rPr>
        <w:t>。</w:t>
      </w:r>
    </w:p>
    <w:p w14:paraId="60FFE41D">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2.1 机组源强：A声压级≤83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，优先≤80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2C4067D">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2.2 隔振装置量化要求：机组底部须设置专用于125～500 Hz中低频衰减的复合隔振装置，不得以普通橡胶垫替代。隔振装置固有频率须满足1.5～4.9 Hz，阻尼比≥0.04，频率比＞9.0，隔振效率≥98%；振动加速度控制在0.0056 m/s²以下。单台机组隔振器数量须按运行重量与重心分布逐点选型，不得“等间距平均布置”。</w:t>
      </w:r>
    </w:p>
    <w:p w14:paraId="1E89E154">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2.3 管道隔振：机组进出水管、冷却水管均须设挠性接头。水平管道每≤6 m设一处弹性吊架，弹性吊架刚度≤200 N/mm，压缩量≥10 mm。</w:t>
      </w:r>
    </w:p>
    <w:p w14:paraId="2E469FDD">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2.4 机房围护与通风消声：机房围护结构隔声量≥30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；机房通风口须设消声百叶，消声量≥15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。面向居民侧墙面须增设阻尼隔声层或独立吸隔声屏障，屏障面向机组一侧敷设吸声材料。</w:t>
      </w:r>
    </w:p>
    <w:p w14:paraId="4DD33FE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2.2.3</w:t>
      </w:r>
      <w:r>
        <w:rPr>
          <w:rFonts w:hint="eastAsia" w:ascii="宋体" w:hAnsi="宋体" w:eastAsia="宋体" w:cs="宋体"/>
          <w:color w:val="auto"/>
          <w:sz w:val="24"/>
          <w:szCs w:val="24"/>
          <w:highlight w:val="none"/>
        </w:rPr>
        <w:t>四管制风冷螺杆冷热水机组</w:t>
      </w:r>
    </w:p>
    <w:p w14:paraId="3F273F0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3.1 机组源强：距外壳1.5 m处噪声≤75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。夜间运行工况下，机组向居民区一侧传播的声压级经距离衰减与屏障插入损失后，敏感点叠加值须≤50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26914BD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3.2 风机降速与消声：风机须为低噪声叶片，具备夜间降速运行接口。风机进风口加装阻性消声器，出风口设消声风罩或阻抗复合消声器，消声量≥10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7EA042A9">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3.3 基础隔振：机组底座与基础之间设弹簧隔振器，隔振效率≥90%；压缩机与机组框架之间设减振垫，避免压缩机振动向风侧换热器框架传递。</w:t>
      </w:r>
    </w:p>
    <w:p w14:paraId="184E90D3">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3.4 居民侧屏障：当多台机组集中布置且距居民侧较近时，面向居民侧须设置可拆卸式吸隔声屏障，屏障插入损失≥10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。屏障不得封堵机组进风面，屏障与机组进风侧净距须≥1.5 m，避免形成气流短路或换热衰减。</w:t>
      </w:r>
    </w:p>
    <w:p w14:paraId="7165CB7E">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2.2.4</w:t>
      </w:r>
      <w:r>
        <w:rPr>
          <w:rFonts w:hint="eastAsia" w:ascii="宋体" w:hAnsi="宋体" w:eastAsia="宋体" w:cs="宋体"/>
          <w:color w:val="auto"/>
          <w:sz w:val="24"/>
          <w:szCs w:val="24"/>
          <w:highlight w:val="none"/>
        </w:rPr>
        <w:t>水泵</w:t>
      </w:r>
    </w:p>
    <w:p w14:paraId="7CA66DD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4.1 泵体隔振：每台水泵基础均须设隔振装置，不得刚性固定在楼板或混凝土基础上。靠近声学敏感侧的水泵，应采用弹簧隔振器并设置型钢混凝土隔振台座，台座质量≥水泵运行质量的1.5倍，隔振效率≥95%。</w:t>
      </w:r>
    </w:p>
    <w:p w14:paraId="3D22CD8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2 管道柔性连接与弹性支撑：泵进出口均设可曲挠橡胶接头或不锈钢波纹管，轴向位移补偿量≥10 mm，耐压≥1.6 MPa。管道穿墙、穿楼板处设弹性套管；水平管段弹性吊架间距按≤6 m控制，立管每层至少设一处弹簧减振支架。</w:t>
      </w:r>
    </w:p>
    <w:p w14:paraId="66667089">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3 机房隔声：水泵机房围护结构隔声量≥25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，机房门为隔声门，门缝设密封条；机房内壁及顶棚宜敷设吸声材料，降低混响叠加。</w:t>
      </w:r>
    </w:p>
    <w:p w14:paraId="1020679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2.2.5</w:t>
      </w:r>
      <w:r>
        <w:rPr>
          <w:rFonts w:hint="eastAsia" w:ascii="宋体" w:hAnsi="宋体" w:eastAsia="宋体" w:cs="宋体"/>
          <w:color w:val="auto"/>
          <w:sz w:val="24"/>
          <w:szCs w:val="24"/>
          <w:highlight w:val="none"/>
        </w:rPr>
        <w:t>空压机</w:t>
      </w:r>
    </w:p>
    <w:p w14:paraId="7D18924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5.1 隔声罩结构与隔声量：空压机须整体置于隔声罩内。隔声罩采用“外层钢板+阻尼层+内层吸声棉+穿孔护面板”复合结构，隔声量≥30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，优先≥35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。罩体接缝、线缆穿孔、管道穿出处须用密封胶条或弹性密封套封堵，不得敞口漏声。</w:t>
      </w:r>
    </w:p>
    <w:p w14:paraId="4DA3A0D0">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5.2 散热消声：隔声罩进、排风口须设阻抗复合消声器或消声百叶，消声量≥25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，通风面积须满足设备散热需求，不得因降噪导致罩内温升超限或机组降容。</w:t>
      </w:r>
    </w:p>
    <w:p w14:paraId="7217A19D">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5.3 管道阻尼包扎：空压机出口至储气罐管道须做阻尼隔声包扎，内层阻尼材料、外层金属保护层，包扎后管道辐射噪声降低≥10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；放空管口须设专用消声器。</w:t>
      </w:r>
    </w:p>
    <w:p w14:paraId="46C8E33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5.4 罩外考核点：隔声罩外1 m处噪声≤75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62974D7E">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2.2.6</w:t>
      </w:r>
      <w:r>
        <w:rPr>
          <w:rFonts w:hint="eastAsia" w:ascii="宋体" w:hAnsi="宋体" w:eastAsia="宋体" w:cs="宋体"/>
          <w:color w:val="auto"/>
          <w:sz w:val="24"/>
          <w:szCs w:val="24"/>
          <w:highlight w:val="none"/>
        </w:rPr>
        <w:t>空调送排风机组</w:t>
      </w:r>
    </w:p>
    <w:p w14:paraId="609D58E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6.1 机组源强：距外壳1 m、高1.5 m处：风量≤25 000 m³/h时≤72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；25 001～35 000 m³/h时≤75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；＞35 000 m³/h时≤78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BFC0E8C">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6.2 消声器设置：机组进风管、送风管、排风管均须设片式阻抗复合消声器，安装长度1.5～1.8 m，须预留足够直管段安装空间。125～250 Hz低频插入损失≥10 dB，中高频≥20 dB；消声器全压损失≤80Pa。</w:t>
      </w:r>
    </w:p>
    <w:p w14:paraId="0C1C9113">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6.3 减振要求：座地式机组采用外置式弹簧减振器，变形量25～32 mm；吊装式机组采用弹簧减振吊架，变形量同为25～32 mm。机组与风管连接处设柔性短管，长度≥200mm。</w:t>
      </w:r>
    </w:p>
    <w:p w14:paraId="64E607D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6.4 朝向居民侧排风：排风机出口如朝向居民侧，管口须加装消声弯头或消声百叶，消声量≥10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；排风管穿越围护结构处弹性密封。</w:t>
      </w:r>
    </w:p>
    <w:p w14:paraId="4415F930">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2.2.7</w:t>
      </w:r>
      <w:r>
        <w:rPr>
          <w:rFonts w:hint="eastAsia" w:ascii="宋体" w:hAnsi="宋体" w:eastAsia="宋体" w:cs="宋体"/>
          <w:color w:val="auto"/>
          <w:sz w:val="24"/>
          <w:szCs w:val="24"/>
          <w:highlight w:val="none"/>
        </w:rPr>
        <w:t>冷却塔（系统配套）</w:t>
      </w:r>
    </w:p>
    <w:p w14:paraId="64ACE98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7.1 塔体源强：距塔体1 m处噪声≤70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，风机为低噪声叶片，具备夜间变频降速功能。</w:t>
      </w:r>
    </w:p>
    <w:p w14:paraId="7E3FF19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7.2 落水消声：收水器下方或集水盘上方铺设弹性阻尼消声垫，厚度≥50mm（EPDM橡胶基体或聚氨酯复合层），落水噪声降低≥10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，插入损失按≥15 dB(A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考核，压损≤50Pa。</w:t>
      </w:r>
    </w:p>
    <w:p w14:paraId="2A282E13">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7.3 进出风消声与隔振：进风口设消声百叶，出风口设阻抗复合消声器；塔体基础设弹簧隔振器，隔振效率≥85%，管道采用橡胶挠性接管。</w:t>
      </w:r>
    </w:p>
    <w:p w14:paraId="615D291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2.2.8</w:t>
      </w:r>
      <w:r>
        <w:rPr>
          <w:rFonts w:hint="eastAsia" w:ascii="宋体" w:hAnsi="宋体" w:eastAsia="宋体" w:cs="宋体"/>
          <w:color w:val="auto"/>
          <w:sz w:val="24"/>
          <w:szCs w:val="24"/>
          <w:highlight w:val="none"/>
        </w:rPr>
        <w:t>安装完成后须进行现场声压级实测，实测值超出本文件限值时，由</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无偿整改至达标。</w:t>
      </w:r>
    </w:p>
    <w:p w14:paraId="69D74D1A">
      <w:pPr>
        <w:spacing w:line="360" w:lineRule="auto"/>
        <w:ind w:firstLine="141" w:firstLineChars="5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投标报价说明</w:t>
      </w:r>
    </w:p>
    <w:p w14:paraId="12899E91">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（一）本次采购预算涵盖范围</w:t>
      </w:r>
    </w:p>
    <w:p w14:paraId="758AF35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装饰工程：墙面、吊顶、地面、门窗等内容的采购施工；建筑外立面风管格栅板装饰围挡；局部结构加固（设置磁屏蔽实验室、改变地下一层及屋顶的地面做法）。</w:t>
      </w:r>
    </w:p>
    <w:p w14:paraId="627C758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通风与空调工程：空气处理机组、风口、阀门、洁净风管及保温、管道、阀门及保温等内容的采购施工等内容的采购施工（不包含蒸汽发生器），该工程共计一体扰流除臭设备4套且不放置于屋面最高处。</w:t>
      </w:r>
    </w:p>
    <w:p w14:paraId="516D593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强电工程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配电箱、变频器、灯具、开关、插座、桥架、电线电缆、电气配管等内容的采购施工；以箱式变压器低压出线端为界上游不在本次范围内（不含室外电缆沟开挖）。</w:t>
      </w:r>
    </w:p>
    <w:p w14:paraId="216C4B3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监控系统：设备、管线等内容的采购施工；预留园区其他楼栋监控系统接口。</w:t>
      </w:r>
    </w:p>
    <w:p w14:paraId="09F20D8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门禁工程：设备、管线等内容的采购施工。</w:t>
      </w:r>
    </w:p>
    <w:p w14:paraId="3276EBE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6.</w:t>
      </w:r>
      <w:r>
        <w:rPr>
          <w:rFonts w:hint="eastAsia" w:ascii="宋体" w:hAnsi="宋体" w:eastAsia="宋体" w:cs="宋体"/>
          <w:color w:val="auto"/>
          <w:sz w:val="24"/>
          <w:szCs w:val="24"/>
          <w:highlight w:val="none"/>
        </w:rPr>
        <w:t>综合布线工程：设备、管线等内容的采购施工；综合布线系统以交换机为界，网络系统以光纤交换机为界，光纤交换机上游不在本次范围内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电话系统以程控交换机为界，程控交换机上游（包括设备）不在本次范围内；综合布线光纤接入不在本次范围内；无线包含在综合布线内（不包含时钟系统）。</w:t>
      </w:r>
    </w:p>
    <w:p w14:paraId="4355E39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7.</w:t>
      </w:r>
      <w:r>
        <w:rPr>
          <w:rFonts w:hint="eastAsia" w:ascii="宋体" w:hAnsi="宋体" w:eastAsia="宋体" w:cs="宋体"/>
          <w:color w:val="auto"/>
          <w:sz w:val="24"/>
          <w:szCs w:val="24"/>
          <w:highlight w:val="none"/>
        </w:rPr>
        <w:t>自控系统工程：设备、管线等内容的采购施工。</w:t>
      </w:r>
    </w:p>
    <w:p w14:paraId="26CC35F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8.</w:t>
      </w:r>
      <w:r>
        <w:rPr>
          <w:rFonts w:hint="eastAsia" w:ascii="宋体" w:hAnsi="宋体" w:eastAsia="宋体" w:cs="宋体"/>
          <w:color w:val="auto"/>
          <w:sz w:val="24"/>
          <w:szCs w:val="24"/>
          <w:highlight w:val="none"/>
        </w:rPr>
        <w:t>给排水工程：管道、阀门等内容的采购施工（不包含制水设备）。</w:t>
      </w:r>
    </w:p>
    <w:p w14:paraId="58DD7628">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9.</w:t>
      </w:r>
      <w:r>
        <w:rPr>
          <w:rFonts w:hint="eastAsia" w:ascii="宋体" w:hAnsi="宋体" w:eastAsia="宋体" w:cs="宋体"/>
          <w:color w:val="auto"/>
          <w:sz w:val="24"/>
          <w:szCs w:val="24"/>
          <w:highlight w:val="none"/>
        </w:rPr>
        <w:t>气体工程：气体接头、管道、阀门等内容的采购施工（不包含空压机及配套储罐）。</w:t>
      </w:r>
    </w:p>
    <w:p w14:paraId="7B19975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10.</w:t>
      </w:r>
      <w:r>
        <w:rPr>
          <w:rFonts w:hint="eastAsia" w:ascii="宋体" w:hAnsi="宋体" w:eastAsia="宋体" w:cs="宋体"/>
          <w:color w:val="auto"/>
          <w:sz w:val="24"/>
          <w:szCs w:val="24"/>
          <w:highlight w:val="none"/>
        </w:rPr>
        <w:t>室外配套类：室外地面开挖、道路及绿化修复工程。</w:t>
      </w:r>
    </w:p>
    <w:p w14:paraId="4C6DD49A">
      <w:pPr>
        <w:spacing w:line="360" w:lineRule="auto"/>
        <w:ind w:firstLine="120" w:firstLineChars="5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（二）本次采购预算不含范围</w:t>
      </w:r>
    </w:p>
    <w:p w14:paraId="6A748CE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不包含屋面防水及保温工程。</w:t>
      </w:r>
    </w:p>
    <w:p w14:paraId="108BF2A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室外配套类：室外管网接入。</w:t>
      </w:r>
    </w:p>
    <w:p w14:paraId="0B6C7B0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建筑土建及外立面类：建筑土建工程、结构工程（钢结构、混凝土结构）。</w:t>
      </w:r>
    </w:p>
    <w:p w14:paraId="4ED703D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专项配套设备工程类：燃气工程、市政蒸汽压力管道工程、电梯工程、UPS及IT数据机房设备。</w:t>
      </w:r>
    </w:p>
    <w:p w14:paraId="11E12E8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高压供电及扩容类：室外进线电缆、高压柜及进线电缆、变压器、低压柜进线电缆（配电箱上端电缆）、变电站设备、电力扩容、柴油发电机系统。</w:t>
      </w:r>
    </w:p>
    <w:p w14:paraId="26EB598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6.</w:t>
      </w:r>
      <w:r>
        <w:rPr>
          <w:rFonts w:hint="eastAsia" w:ascii="宋体" w:hAnsi="宋体" w:eastAsia="宋体" w:cs="宋体"/>
          <w:color w:val="auto"/>
          <w:sz w:val="24"/>
          <w:szCs w:val="24"/>
          <w:highlight w:val="none"/>
        </w:rPr>
        <w:t>实验专用配套设施类：实验笼具、隔离器；工艺设备（灭菌器、洗笼机、垫料系统、低温消毒传递舱、水瓶灌注机、换笼台、饮水瓶全自动清洗机等）；实验家具（实验台、更衣柜、生物安全柜、通风柜、清洗池等）、办公家具（办公桌椅）；手术室专用设备（无影灯、手术床、吊塔、保温柜、保冷柜、冷库等）；各类实验仪器设备（冰箱、培养箱等）。</w:t>
      </w:r>
    </w:p>
    <w:p w14:paraId="32D06FB0">
      <w:pPr>
        <w:widowControl/>
        <w:adjustRightInd w:val="0"/>
        <w:snapToGrid w:val="0"/>
        <w:spacing w:line="360" w:lineRule="auto"/>
        <w:ind w:firstLine="120" w:firstLineChars="5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7.</w:t>
      </w:r>
      <w:r>
        <w:rPr>
          <w:rFonts w:hint="eastAsia" w:ascii="宋体" w:hAnsi="宋体" w:eastAsia="宋体" w:cs="宋体"/>
          <w:color w:val="auto"/>
          <w:kern w:val="0"/>
          <w:sz w:val="24"/>
          <w:szCs w:val="24"/>
          <w:highlight w:val="none"/>
        </w:rPr>
        <w:t>工程其他费用类：监理费、设计费等工程建设其他费用。</w:t>
      </w:r>
    </w:p>
    <w:p w14:paraId="2C154BAE">
      <w:pPr>
        <w:widowControl/>
        <w:adjustRightInd w:val="0"/>
        <w:snapToGrid w:val="0"/>
        <w:spacing w:line="360" w:lineRule="auto"/>
        <w:ind w:firstLine="137" w:firstLineChars="50"/>
        <w:textAlignment w:val="baseline"/>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lang w:val="en-US" w:eastAsia="zh-CN"/>
        </w:rPr>
        <w:t>七</w:t>
      </w:r>
      <w:r>
        <w:rPr>
          <w:rFonts w:hint="eastAsia" w:ascii="宋体" w:hAnsi="宋体" w:eastAsia="宋体" w:cs="宋体"/>
          <w:b/>
          <w:bCs/>
          <w:color w:val="auto"/>
          <w:spacing w:val="-4"/>
          <w:sz w:val="28"/>
          <w:szCs w:val="28"/>
          <w:highlight w:val="none"/>
        </w:rPr>
        <w:t>、项目建设及要求</w:t>
      </w:r>
    </w:p>
    <w:p w14:paraId="1B8E4B4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1.产品运输、保险及保管</w:t>
      </w:r>
    </w:p>
    <w:p w14:paraId="4AEF92D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1.1中标人负责产品到交货地点的全部运输，包括所产生的一切材料费、工具费、人工费、手续费、差旅费、食宿费和加班费等，由于搬运、装卸、吊装及运输不当造成的各种事故责任和损失由中标人承担。</w:t>
      </w:r>
    </w:p>
    <w:p w14:paraId="0B7E534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1.2中标人负责产品在交货及安装地点的保管，直至项目验收合格。</w:t>
      </w:r>
    </w:p>
    <w:p w14:paraId="51ED0AB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1.3中标人负责其派出的安装调试人员的人身意外保险。</w:t>
      </w:r>
    </w:p>
    <w:p w14:paraId="2FE809F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1.4中标人应保证产品包装完整，到达指定的交货地点前未拆封。</w:t>
      </w:r>
    </w:p>
    <w:p w14:paraId="72C5356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2.安装调试</w:t>
      </w:r>
    </w:p>
    <w:p w14:paraId="7E5CB1A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中标人负责产品免费送货上门，免费安装、调试，由此所产生的一切材料费、工具费、人工费、手续费、差旅费、食宿费和加班费等，均由中标人承担。安装调试期间所发现一切安全和质量事故及费用，均由中标人承担。</w:t>
      </w:r>
    </w:p>
    <w:p w14:paraId="09AB583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中标人送达产品及进行安装调试，应提前两天以上和采购人及采购用户单位取得联系，以便采购人及采购用户单位安排验货和配合安装调试等工作。中标人须加强安装调试过程的组织管理，所有安装调试人员须遵守文明安全操作的有关规章制度，持证上岗。</w:t>
      </w:r>
    </w:p>
    <w:p w14:paraId="4BD47D2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2.3项目完成后，中标人应将项目有关的全部资料，包括产品资料、中文操作说明书、技术文档及采购人要求的相关资料等，移交采购人。</w:t>
      </w:r>
    </w:p>
    <w:p w14:paraId="3D7D2C2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3.测试验收</w:t>
      </w:r>
    </w:p>
    <w:p w14:paraId="64FCA45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3.1项目验收国家、省、市、县有强制性规定的，按国家、省、市、县规定执行，验收费用由成交人承担，验收报告作为申请付款的凭证之一。</w:t>
      </w:r>
    </w:p>
    <w:p w14:paraId="5D3E6B6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3.2验收过程中产生纠纷的，由质量技术监督部门认定的检测机构检测，如为中标人原因造成的，由中标人承担检测费用；否则，由采购人承担。</w:t>
      </w:r>
    </w:p>
    <w:p w14:paraId="3EE8DF2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项目验收不合格，由中标人返工直至合格，有关返工、再行验收，以及给采购人造成的损失等费用由中标人承担。连续两次项目验收不合格的，采购人可终止合同，另行按规定选择其他供应商采购，由此带来的一切损失由中标人承担。</w:t>
      </w:r>
    </w:p>
    <w:p w14:paraId="57DC8F4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采购人与中标人双方签署验收证书后，产品才视为验收合格，并开始计算质量保证期。如果由于产品本身原因在三十天内调试而未能获得通过，中标人必须更换一套新的同型号且符合相关技术性能的产品，并赔偿由此造成的经济损失。</w:t>
      </w:r>
    </w:p>
    <w:p w14:paraId="247DC66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4.质量保证</w:t>
      </w:r>
    </w:p>
    <w:p w14:paraId="44590FB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4.1中标人提供的产品应是原装正品，符合国家质量检测标准，具有出厂合格证或国家鉴定合格证。提供的产品原始样本、技术资料应和投标文件的技术参数一致，应符合我国有关技术规范和技术标准。</w:t>
      </w:r>
    </w:p>
    <w:p w14:paraId="6816762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4.2整体项目质保期为2年。部分材料如国家/行业标准有更高要求的按国家/行业标准执行。</w:t>
      </w:r>
    </w:p>
    <w:p w14:paraId="40150054">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4.3质保期从验收合格后开始计算。质保期内所有设备维护必须免费上门服务。</w:t>
      </w:r>
    </w:p>
    <w:p w14:paraId="57690A2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5.售后服务</w:t>
      </w:r>
    </w:p>
    <w:p w14:paraId="0121FCB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5.1系统维护。要求提交以下内容。</w:t>
      </w:r>
    </w:p>
    <w:p w14:paraId="54380C7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1）定期维护计划。</w:t>
      </w:r>
    </w:p>
    <w:p w14:paraId="03C8D29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2）对采购人不定期维护要求的响应措施。</w:t>
      </w:r>
    </w:p>
    <w:p w14:paraId="56D2A55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3）对用户修改招标要求的响应措施。</w:t>
      </w:r>
    </w:p>
    <w:p w14:paraId="0D303D5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5.2技术支持</w:t>
      </w:r>
    </w:p>
    <w:p w14:paraId="2CD0165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1）提供7×24小时的技术咨询服务。</w:t>
      </w:r>
    </w:p>
    <w:p w14:paraId="2D6EB3A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2）敏感时期、重大节假日提供技术人员值守服务。</w:t>
      </w:r>
    </w:p>
    <w:p w14:paraId="3DD9869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故障响应</w:t>
      </w:r>
    </w:p>
    <w:p w14:paraId="3D0FBBF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1）提供7×24小时的故障服务受理。</w:t>
      </w:r>
    </w:p>
    <w:p w14:paraId="64D92BEF">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2）对重大故障提供7×24小时的现场支援，一般故障提供5×8小时的现场支援。故障电话响应时间不超过1小时，到达现场时间不超过24小时。</w:t>
      </w:r>
    </w:p>
    <w:p w14:paraId="424D054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3）备件服务：遇到重大故障，提供系统所需更换的任何备件。</w:t>
      </w:r>
    </w:p>
    <w:p w14:paraId="460CF2C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4）设备维修期间须提供相应的备用设备，以保证采购人工作的正常进行。</w:t>
      </w:r>
    </w:p>
    <w:p w14:paraId="376BF48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6.安全生产管理要求</w:t>
      </w:r>
    </w:p>
    <w:p w14:paraId="435DCAD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中标人施工全过程须服从发包人、监理单位及属地应急、住建等主管部门安全生产管理各项要求，落实安全生产、文明施工各项措施，承担施工现场全部安全责任。</w:t>
      </w:r>
    </w:p>
    <w:p w14:paraId="679F3432">
      <w:pPr>
        <w:widowControl/>
        <w:adjustRightInd w:val="0"/>
        <w:snapToGrid w:val="0"/>
        <w:spacing w:line="360" w:lineRule="auto"/>
        <w:ind w:firstLine="137" w:firstLineChars="50"/>
        <w:textAlignment w:val="baseline"/>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lang w:val="en-US" w:eastAsia="zh-CN"/>
        </w:rPr>
        <w:t>八</w:t>
      </w:r>
      <w:r>
        <w:rPr>
          <w:rFonts w:hint="eastAsia" w:ascii="宋体" w:hAnsi="宋体" w:eastAsia="宋体" w:cs="宋体"/>
          <w:b/>
          <w:bCs/>
          <w:color w:val="auto"/>
          <w:spacing w:val="-4"/>
          <w:sz w:val="28"/>
          <w:szCs w:val="28"/>
          <w:highlight w:val="none"/>
        </w:rPr>
        <w:t>、其他要求</w:t>
      </w:r>
    </w:p>
    <w:p w14:paraId="227FE4B7">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交货时间及地点：</w:t>
      </w:r>
    </w:p>
    <w:p w14:paraId="00E43E8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1.1交货时间：收到业主通知后10个月内完成安装、调试并交付使用完毕。</w:t>
      </w:r>
    </w:p>
    <w:p w14:paraId="542C524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1.2交货地点：采购人指定地点</w:t>
      </w:r>
    </w:p>
    <w:p w14:paraId="63022AD9">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1.3交货方式：一次性交货。</w:t>
      </w:r>
    </w:p>
    <w:p w14:paraId="3A47CB0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付款方式：第一笔：首付款（合同总金额的20%）</w:t>
      </w:r>
    </w:p>
    <w:p w14:paraId="7519350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合同生效后15个工作日内，甲方凭正式发票向乙方支付合同总金额的20%作为首付款。</w:t>
      </w:r>
    </w:p>
    <w:p w14:paraId="595AC81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第二笔：主要设备到位款（合同总金额的30%）</w:t>
      </w:r>
    </w:p>
    <w:p w14:paraId="1EF1925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主要设备（四管制风冷螺杆冷热水机组、满液式水冷螺杆冷水机组、空调机组）运抵甲方指定地点，经甲方到货验收合格并签署《到货验收单》后15个工作日内，甲方凭正式发票向乙方支付合同总金额的30%。</w:t>
      </w:r>
    </w:p>
    <w:p w14:paraId="5E5A3D0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第三笔：其他设备到位款（合同总金额的10%）</w:t>
      </w:r>
    </w:p>
    <w:p w14:paraId="57EA88D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其他设备（方形横流冷却塔、排风机组、一体扰流喷淋除臭）运抵甲方指定地点，经甲方到货验收合格并签署《到货验收单》后15个工作日内，甲方凭正式发票向乙方支付合同总金额的10%。</w:t>
      </w:r>
    </w:p>
    <w:p w14:paraId="1D709C5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第四笔：验收合格款（合同总金额的35%）</w:t>
      </w:r>
    </w:p>
    <w:p w14:paraId="69B220B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部设备安装、调试完成，且动物房环境检测合格，两项条件同时满足后，经甲方及第三方最终验收合格并签署《最终验收报告》后15个工作日内，甲方凭正式发票向乙方支付合同总金额的35%，累计支付至合同总额的95%。</w:t>
      </w:r>
    </w:p>
    <w:p w14:paraId="0363988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第五笔： 尾款（合同总金额的5%）</w:t>
      </w:r>
    </w:p>
    <w:p w14:paraId="3007D6DE">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最终验收合格满1年，且无质量问题、无售后服务纠纷及其他经济法律纠纷的，甲方凭正式发票在15个工作日内无息一次性付清合同总金额的5%。</w:t>
      </w:r>
    </w:p>
    <w:p w14:paraId="2FDBA03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3、本项目为交钥匙项目，合同形式为固定总价合同，本项目不因其他任何原因进行合同价格调整。</w:t>
      </w:r>
    </w:p>
    <w:p w14:paraId="6701590D">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项目为交钥匙工程（精细卫生均到位），投标报价应包括招标文件所确定的采购范围内所需所有设备、材料、配件运抵采购人所在项目工地现场，安装、调试直至交付使用的价格。其包括但不限于投标人自制的或外购的全部设备及配件的价格、包装费、运杂费（运抵采购人工地现场）、运输保险费、随机提供的备品备件费及专用工具费、配套及辅助材料设备费、上货费、卸货费、安装调试费、检测检验费、劳务费、资料费、培训费、质保期内维修保养费用、保险、利润、税金、政策性文件规定及合同包含的所有风险、责任等各项所有应有费用以及投标人认为需要的其他费用等一切费用。并应包含从项目中标起到验收止（含保修期）所发生的一切费用。在安装、调试、验收过程中，如发现有漏项、缺件，投标人应无条件、无偿补齐，所发生的一切费用，视为已包含在投标人的投标报价中，且并不因此而影响交付采购人使用的时间。</w:t>
      </w:r>
    </w:p>
    <w:p w14:paraId="330B56F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5、中标人无条件配合采购人完成设施验证，直至验收合格。</w:t>
      </w:r>
    </w:p>
    <w:p w14:paraId="457834C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6、本项目不统一组织现场踏勘，投标人现场踏勘的一切费用自理。为保证投标人所投货物品质、规格等最大限度满足本次采购需求，建议投标人自行现场踏勘。</w:t>
      </w:r>
    </w:p>
    <w:p w14:paraId="31F5367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7、因投标人未踏勘现场导致项目出现漏项、缺项情况的，均视为投标人免费提供。</w:t>
      </w:r>
    </w:p>
    <w:p w14:paraId="3AD20E7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8、图纸另附，图纸仅供参考，投标人可自行踏勘，按需进行深化设计。</w:t>
      </w:r>
    </w:p>
    <w:p w14:paraId="24624791">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9、招标文件中注明的所有尺寸仅供参考，具体以投标人所投设备为准。</w:t>
      </w:r>
    </w:p>
    <w:p w14:paraId="3F064CA5">
      <w:pPr>
        <w:widowControl/>
        <w:adjustRightInd w:val="0"/>
        <w:snapToGrid w:val="0"/>
        <w:spacing w:line="360" w:lineRule="auto"/>
        <w:ind w:firstLine="137" w:firstLineChars="50"/>
        <w:textAlignment w:val="baseline"/>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lang w:val="en-US" w:eastAsia="zh-CN"/>
        </w:rPr>
        <w:t>九</w:t>
      </w:r>
      <w:r>
        <w:rPr>
          <w:rFonts w:hint="eastAsia" w:ascii="宋体" w:hAnsi="宋体" w:eastAsia="宋体" w:cs="宋体"/>
          <w:b/>
          <w:bCs/>
          <w:color w:val="auto"/>
          <w:spacing w:val="-4"/>
          <w:sz w:val="28"/>
          <w:szCs w:val="28"/>
          <w:highlight w:val="none"/>
        </w:rPr>
        <w:t>、履约验收方式或验收方案：</w:t>
      </w:r>
    </w:p>
    <w:p w14:paraId="635C628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1）验收主体：甲方为项目的验收主体</w:t>
      </w:r>
    </w:p>
    <w:p w14:paraId="3497907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验收组织方式：委托第三方</w:t>
      </w:r>
    </w:p>
    <w:p w14:paraId="58FA46A0">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是否邀请本项目的其他供应商：否</w:t>
      </w:r>
    </w:p>
    <w:p w14:paraId="5AB2000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是否邀请专家：是</w:t>
      </w:r>
    </w:p>
    <w:p w14:paraId="674EFB5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是否邀请服务对象：否</w:t>
      </w:r>
    </w:p>
    <w:p w14:paraId="2EF775D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是否邀请第三方检测机构：否</w:t>
      </w:r>
    </w:p>
    <w:p w14:paraId="787DD896">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组织的其他事项：1.在验收过程中发现数量不足或有质量、技术等问题，乙方应负责按照甲方的要求采取补足、更换或退货等处理措施，并承担由此发生的一切费用和损失。2.甲方在乙方按合同规定交货或安装、调试后，无正当理由而拖延接收、验收或拒绝接收、验收的，应承担因此给乙方千万的直接损失。</w:t>
      </w:r>
    </w:p>
    <w:p w14:paraId="7D7D80E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履约验收时间：另行约定 </w:t>
      </w:r>
    </w:p>
    <w:p w14:paraId="576360A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3）履约验收方式：采购人分期验收，第三方机构组织最终验收 </w:t>
      </w:r>
    </w:p>
    <w:p w14:paraId="5B6A577C">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4）履约验收的内容：</w:t>
      </w:r>
    </w:p>
    <w:p w14:paraId="25B015A3">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技术履约验收内容：按采购文件及投标文件的技术部分验收        </w:t>
      </w:r>
    </w:p>
    <w:p w14:paraId="7F016A12">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服务履约验收内容：按采购文件及投标文件的服务部分验收       </w:t>
      </w:r>
    </w:p>
    <w:p w14:paraId="1D69E5DB">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商务履约验收内容：按采购文件及投标文件的商务部分验收</w:t>
      </w:r>
    </w:p>
    <w:p w14:paraId="39BD26B5">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6）履约验收标准：符合国家或行业标准（如有）及其他相关标准     </w:t>
      </w:r>
    </w:p>
    <w:p w14:paraId="6EB635E6">
      <w:pPr>
        <w:widowControl/>
        <w:adjustRightInd w:val="0"/>
        <w:snapToGrid w:val="0"/>
        <w:spacing w:line="360" w:lineRule="auto"/>
        <w:ind w:firstLine="120" w:firstLineChars="50"/>
        <w:textAlignment w:val="baseline"/>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对于上述项目要求，供应商应在响应文件中进行回应，做出实质性承诺及说明。</w:t>
      </w:r>
    </w:p>
    <w:p w14:paraId="6E66637A">
      <w:pPr>
        <w:widowControl/>
        <w:adjustRightInd w:val="0"/>
        <w:snapToGrid w:val="0"/>
        <w:spacing w:line="360" w:lineRule="auto"/>
        <w:ind w:firstLine="141" w:firstLineChars="50"/>
        <w:textAlignment w:val="baseline"/>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rPr>
        <w:t>九、同一评审参数在响应文件中多次出现的，仅按一次认定，不重复扣分。</w:t>
      </w:r>
      <w:bookmarkEnd w:id="132"/>
    </w:p>
    <w:p w14:paraId="18A1C923">
      <w:pPr>
        <w:jc w:val="center"/>
        <w:rPr>
          <w:rFonts w:hint="eastAsia" w:ascii="宋体" w:hAnsi="宋体" w:eastAsia="宋体" w:cs="宋体"/>
          <w:b/>
          <w:color w:val="auto"/>
          <w:sz w:val="32"/>
          <w:szCs w:val="32"/>
          <w:highlight w:val="none"/>
        </w:rPr>
      </w:pPr>
      <w:r>
        <w:rPr>
          <w:rFonts w:hint="eastAsia" w:ascii="宋体" w:hAnsi="宋体" w:eastAsia="宋体" w:cs="宋体"/>
          <w:color w:val="auto"/>
          <w:highlight w:val="none"/>
        </w:rPr>
        <w:br w:type="page"/>
      </w:r>
      <w:bookmarkStart w:id="196" w:name="_Toc966157"/>
      <w:bookmarkStart w:id="197" w:name="_Toc6242774"/>
      <w:bookmarkStart w:id="198" w:name="_Toc129095621"/>
      <w:bookmarkStart w:id="199" w:name="_Toc129095515"/>
      <w:r>
        <w:rPr>
          <w:rFonts w:hint="eastAsia" w:ascii="宋体" w:hAnsi="宋体" w:eastAsia="宋体" w:cs="宋体"/>
          <w:b/>
          <w:color w:val="auto"/>
          <w:sz w:val="32"/>
          <w:szCs w:val="32"/>
          <w:highlight w:val="none"/>
        </w:rPr>
        <w:t>第五章  采购合同</w:t>
      </w:r>
      <w:bookmarkEnd w:id="196"/>
      <w:bookmarkEnd w:id="197"/>
      <w:bookmarkEnd w:id="198"/>
      <w:bookmarkEnd w:id="199"/>
    </w:p>
    <w:p w14:paraId="210165D6">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Cs w:val="21"/>
          <w:highlight w:val="none"/>
        </w:rPr>
        <w:t xml:space="preserve">   </w:t>
      </w:r>
      <w:bookmarkStart w:id="200" w:name="_Toc883945"/>
      <w:r>
        <w:rPr>
          <w:rFonts w:hint="eastAsia" w:ascii="宋体" w:hAnsi="宋体" w:eastAsia="宋体" w:cs="宋体"/>
          <w:b/>
          <w:color w:val="auto"/>
          <w:kern w:val="0"/>
          <w:szCs w:val="21"/>
          <w:highlight w:val="none"/>
        </w:rPr>
        <w:t>（</w:t>
      </w:r>
      <w:r>
        <w:rPr>
          <w:rFonts w:hint="eastAsia" w:ascii="宋体" w:hAnsi="宋体" w:eastAsia="宋体" w:cs="宋体"/>
          <w:b/>
          <w:color w:val="auto"/>
          <w:kern w:val="0"/>
          <w:sz w:val="24"/>
          <w:szCs w:val="24"/>
          <w:highlight w:val="none"/>
        </w:rPr>
        <w:t>最终合同版本及条款由双方协商后确定，按</w:t>
      </w:r>
      <w:r>
        <w:rPr>
          <w:rFonts w:hint="eastAsia" w:ascii="宋体" w:hAnsi="宋体" w:eastAsia="宋体" w:cs="宋体"/>
          <w:b/>
          <w:color w:val="auto"/>
          <w:kern w:val="0"/>
          <w:sz w:val="24"/>
          <w:szCs w:val="24"/>
          <w:highlight w:val="none"/>
          <w:lang w:eastAsia="zh-CN"/>
        </w:rPr>
        <w:t>上级</w:t>
      </w:r>
      <w:r>
        <w:rPr>
          <w:rFonts w:hint="eastAsia" w:ascii="宋体" w:hAnsi="宋体" w:eastAsia="宋体" w:cs="宋体"/>
          <w:b/>
          <w:color w:val="auto"/>
          <w:kern w:val="0"/>
          <w:sz w:val="24"/>
          <w:szCs w:val="24"/>
          <w:highlight w:val="none"/>
        </w:rPr>
        <w:t>审批部门相关规定签订承销协议）</w:t>
      </w:r>
    </w:p>
    <w:p w14:paraId="08F49D0D">
      <w:pPr>
        <w:widowControl/>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8BDEB1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（甲方）</w:t>
      </w:r>
    </w:p>
    <w:p w14:paraId="0760F17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（乙方）</w:t>
      </w:r>
    </w:p>
    <w:p w14:paraId="5C141803">
      <w:pPr>
        <w:tabs>
          <w:tab w:val="left" w:pos="2715"/>
        </w:tabs>
        <w:adjustRightInd w:val="0"/>
        <w:snapToGrid w:val="0"/>
        <w:spacing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p>
    <w:p w14:paraId="342B1CF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为了保护甲、乙双方合法权益，根据《</w:t>
      </w:r>
      <w:r>
        <w:rPr>
          <w:rFonts w:hint="eastAsia" w:ascii="宋体" w:hAnsi="宋体" w:eastAsia="宋体" w:cs="宋体"/>
          <w:color w:val="auto"/>
          <w:sz w:val="24"/>
          <w:szCs w:val="24"/>
          <w:highlight w:val="none"/>
          <w:lang w:eastAsia="zh-CN"/>
        </w:rPr>
        <w:t>中华人民共和国民法典</w:t>
      </w:r>
      <w:r>
        <w:rPr>
          <w:rFonts w:hint="eastAsia" w:ascii="宋体" w:hAnsi="宋体" w:eastAsia="宋体" w:cs="宋体"/>
          <w:color w:val="auto"/>
          <w:sz w:val="24"/>
          <w:szCs w:val="24"/>
          <w:highlight w:val="none"/>
        </w:rPr>
        <w:t>》及其他有关</w:t>
      </w: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、规章，双方签订本合同协议书。</w:t>
      </w:r>
    </w:p>
    <w:p w14:paraId="544A3D6B">
      <w:pPr>
        <w:tabs>
          <w:tab w:val="left" w:pos="2760"/>
        </w:tabs>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1.项目管理信息</w:t>
      </w:r>
      <w:r>
        <w:rPr>
          <w:rFonts w:hint="eastAsia" w:ascii="宋体" w:hAnsi="宋体" w:eastAsia="宋体" w:cs="宋体"/>
          <w:b/>
          <w:color w:val="auto"/>
          <w:sz w:val="24"/>
          <w:szCs w:val="24"/>
          <w:highlight w:val="none"/>
        </w:rPr>
        <w:tab/>
      </w:r>
    </w:p>
    <w:p w14:paraId="44C2B694">
      <w:pPr>
        <w:adjustRightInd w:val="0"/>
        <w:snapToGrid w:val="0"/>
        <w:spacing w:line="360" w:lineRule="auto"/>
        <w:ind w:left="420" w:left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（1）采购方式：</w:t>
      </w:r>
      <w:r>
        <w:rPr>
          <w:rFonts w:hint="eastAsia" w:ascii="宋体" w:hAnsi="宋体" w:eastAsia="宋体" w:cs="宋体"/>
          <w:color w:val="auto"/>
          <w:sz w:val="24"/>
          <w:szCs w:val="24"/>
          <w:highlight w:val="none"/>
          <w:u w:val="single"/>
        </w:rPr>
        <w:t xml:space="preserve">                          </w:t>
      </w:r>
    </w:p>
    <w:p w14:paraId="1346F172">
      <w:pPr>
        <w:adjustRightInd w:val="0"/>
        <w:snapToGrid w:val="0"/>
        <w:spacing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（2）项目名称：</w:t>
      </w:r>
      <w:r>
        <w:rPr>
          <w:rFonts w:hint="eastAsia" w:ascii="宋体" w:hAnsi="宋体" w:eastAsia="宋体" w:cs="宋体"/>
          <w:color w:val="auto"/>
          <w:sz w:val="24"/>
          <w:szCs w:val="24"/>
          <w:highlight w:val="none"/>
          <w:u w:val="single"/>
        </w:rPr>
        <w:t xml:space="preserve">                          </w:t>
      </w:r>
    </w:p>
    <w:p w14:paraId="5115DF1E">
      <w:p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2.合同标的及金额</w:t>
      </w:r>
    </w:p>
    <w:tbl>
      <w:tblPr>
        <w:tblStyle w:val="19"/>
        <w:tblW w:w="0" w:type="auto"/>
        <w:tblInd w:w="54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389"/>
        <w:gridCol w:w="1626"/>
        <w:gridCol w:w="1660"/>
        <w:gridCol w:w="2134"/>
        <w:gridCol w:w="903"/>
      </w:tblGrid>
      <w:tr w14:paraId="1D898C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300" w:hRule="atLeast"/>
        </w:trPr>
        <w:tc>
          <w:tcPr>
            <w:tcW w:w="883" w:type="dxa"/>
            <w:noWrap w:val="0"/>
            <w:vAlign w:val="center"/>
          </w:tcPr>
          <w:p w14:paraId="22551A55">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389" w:type="dxa"/>
            <w:noWrap w:val="0"/>
            <w:vAlign w:val="center"/>
          </w:tcPr>
          <w:p w14:paraId="6884898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设备名称</w:t>
            </w:r>
          </w:p>
        </w:tc>
        <w:tc>
          <w:tcPr>
            <w:tcW w:w="1626" w:type="dxa"/>
            <w:noWrap w:val="0"/>
            <w:vAlign w:val="center"/>
          </w:tcPr>
          <w:p w14:paraId="5FF7DCF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w:t>
            </w:r>
          </w:p>
        </w:tc>
        <w:tc>
          <w:tcPr>
            <w:tcW w:w="1660" w:type="dxa"/>
            <w:noWrap w:val="0"/>
            <w:vAlign w:val="center"/>
          </w:tcPr>
          <w:p w14:paraId="14677897">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规格型号</w:t>
            </w:r>
          </w:p>
        </w:tc>
        <w:tc>
          <w:tcPr>
            <w:tcW w:w="2134" w:type="dxa"/>
            <w:noWrap w:val="0"/>
            <w:vAlign w:val="center"/>
          </w:tcPr>
          <w:p w14:paraId="254C78BC">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合同金额（元）</w:t>
            </w:r>
          </w:p>
        </w:tc>
        <w:tc>
          <w:tcPr>
            <w:tcW w:w="903" w:type="dxa"/>
            <w:noWrap w:val="0"/>
            <w:vAlign w:val="center"/>
          </w:tcPr>
          <w:p w14:paraId="1FF4F7E2">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48E046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83" w:type="dxa"/>
            <w:noWrap w:val="0"/>
            <w:vAlign w:val="center"/>
          </w:tcPr>
          <w:p w14:paraId="7F5F8181">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389" w:type="dxa"/>
            <w:noWrap w:val="0"/>
            <w:vAlign w:val="center"/>
          </w:tcPr>
          <w:p w14:paraId="521CCB0F">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6" w:type="dxa"/>
            <w:noWrap w:val="0"/>
            <w:vAlign w:val="center"/>
          </w:tcPr>
          <w:p w14:paraId="03714F0E">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60" w:type="dxa"/>
            <w:noWrap w:val="0"/>
            <w:vAlign w:val="center"/>
          </w:tcPr>
          <w:p w14:paraId="22A089C9">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2134" w:type="dxa"/>
            <w:noWrap w:val="0"/>
            <w:vAlign w:val="center"/>
          </w:tcPr>
          <w:p w14:paraId="5807F03E">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903" w:type="dxa"/>
            <w:noWrap w:val="0"/>
            <w:vAlign w:val="center"/>
          </w:tcPr>
          <w:p w14:paraId="40316ECB">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79CED4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883" w:type="dxa"/>
            <w:noWrap w:val="0"/>
            <w:vAlign w:val="center"/>
          </w:tcPr>
          <w:p w14:paraId="3A42C8ED">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389" w:type="dxa"/>
            <w:noWrap w:val="0"/>
            <w:vAlign w:val="center"/>
          </w:tcPr>
          <w:p w14:paraId="351C92E5">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6" w:type="dxa"/>
            <w:noWrap w:val="0"/>
            <w:vAlign w:val="center"/>
          </w:tcPr>
          <w:p w14:paraId="0D48B91D">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60" w:type="dxa"/>
            <w:noWrap w:val="0"/>
            <w:vAlign w:val="center"/>
          </w:tcPr>
          <w:p w14:paraId="0C781EEA">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2134" w:type="dxa"/>
            <w:noWrap w:val="0"/>
            <w:vAlign w:val="center"/>
          </w:tcPr>
          <w:p w14:paraId="70B66619">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903" w:type="dxa"/>
            <w:noWrap w:val="0"/>
            <w:vAlign w:val="center"/>
          </w:tcPr>
          <w:p w14:paraId="593C27C3">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2B16C6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8595" w:type="dxa"/>
            <w:gridSpan w:val="6"/>
            <w:noWrap w:val="0"/>
            <w:vAlign w:val="center"/>
          </w:tcPr>
          <w:p w14:paraId="319545C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合同金额小写：</w:t>
            </w:r>
            <w:r>
              <w:rPr>
                <w:rFonts w:hint="eastAsia" w:ascii="宋体" w:hAnsi="宋体" w:eastAsia="宋体" w:cs="宋体"/>
                <w:color w:val="auto"/>
                <w:sz w:val="24"/>
                <w:szCs w:val="24"/>
                <w:highlight w:val="none"/>
                <w:u w:val="single"/>
              </w:rPr>
              <w:t xml:space="preserve">                      </w:t>
            </w:r>
          </w:p>
          <w:p w14:paraId="3BBEDE68">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p>
        </w:tc>
      </w:tr>
    </w:tbl>
    <w:p w14:paraId="5BAFD056">
      <w:pPr>
        <w:adjustRightInd w:val="0"/>
        <w:snapToGrid w:val="0"/>
        <w:spacing w:line="360" w:lineRule="auto"/>
        <w:ind w:firstLine="482" w:firstLineChars="200"/>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3.履行合同的时间、地点及方式：</w:t>
      </w:r>
      <w:r>
        <w:rPr>
          <w:rFonts w:hint="eastAsia" w:ascii="宋体" w:hAnsi="宋体" w:eastAsia="宋体" w:cs="宋体"/>
          <w:color w:val="auto"/>
          <w:sz w:val="24"/>
          <w:szCs w:val="24"/>
          <w:highlight w:val="none"/>
          <w:u w:val="single"/>
        </w:rPr>
        <w:t xml:space="preserve">                       </w:t>
      </w:r>
    </w:p>
    <w:p w14:paraId="59ED0CFB">
      <w:pPr>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4.付款：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537651C">
      <w:p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5.履约验收方式：</w:t>
      </w:r>
    </w:p>
    <w:p w14:paraId="06A7A5B2">
      <w:p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6.解决合同纠纷方式</w:t>
      </w:r>
    </w:p>
    <w:p w14:paraId="3ED78BC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首先通过双方协商解决，协商解决不成，则通过以下途径之一解决纠纷：</w:t>
      </w:r>
    </w:p>
    <w:p w14:paraId="54B6902D">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提请仲裁       □ 向人民法院提起诉讼</w:t>
      </w:r>
    </w:p>
    <w:p w14:paraId="0AF0FEDE">
      <w:p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7.组成合同的文件</w:t>
      </w:r>
    </w:p>
    <w:p w14:paraId="1875C73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合同由以下文件构成，如下述文件之间有任何抵触、矛盾或歧义，应按以下顺序解释：</w:t>
      </w:r>
    </w:p>
    <w:p w14:paraId="3DC87C2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（1）在采购或合同履行过程中乙方作出的承诺以及双方依法依规协商达成的变更或补充协议</w:t>
      </w:r>
    </w:p>
    <w:p w14:paraId="7A9E102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（2）本合同协议书</w:t>
      </w:r>
    </w:p>
    <w:p w14:paraId="28BFC03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（3）中标通知书</w:t>
      </w:r>
    </w:p>
    <w:p w14:paraId="1BC5187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（4）投标文件</w:t>
      </w:r>
    </w:p>
    <w:p w14:paraId="29070CD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（5）招标文件</w:t>
      </w:r>
    </w:p>
    <w:p w14:paraId="5BC7D6D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（6）标准、规范及有关技术文件</w:t>
      </w:r>
    </w:p>
    <w:p w14:paraId="3D339A2E">
      <w:pPr>
        <w:adjustRightInd w:val="0"/>
        <w:snapToGrid w:val="0"/>
        <w:spacing w:line="360" w:lineRule="auto"/>
        <w:rPr>
          <w:rFonts w:hint="eastAsia" w:ascii="宋体" w:hAnsi="宋体" w:eastAsia="宋体" w:cs="宋体"/>
          <w:color w:val="auto"/>
          <w:sz w:val="24"/>
          <w:szCs w:val="24"/>
          <w:highlight w:val="none"/>
        </w:rPr>
      </w:pPr>
    </w:p>
    <w:p w14:paraId="56E9A44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09AC59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02986E9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bl>
      <w:tblPr>
        <w:tblStyle w:val="19"/>
        <w:tblpPr w:leftFromText="180" w:rightFromText="180" w:vertAnchor="text" w:horzAnchor="page" w:tblpX="1634" w:tblpY="173"/>
        <w:tblOverlap w:val="never"/>
        <w:tblW w:w="0" w:type="auto"/>
        <w:tblInd w:w="0" w:type="dxa"/>
        <w:tblLayout w:type="fixed"/>
        <w:tblCellMar>
          <w:top w:w="0" w:type="dxa"/>
          <w:left w:w="108" w:type="dxa"/>
          <w:bottom w:w="0" w:type="dxa"/>
          <w:right w:w="108" w:type="dxa"/>
        </w:tblCellMar>
      </w:tblPr>
      <w:tblGrid>
        <w:gridCol w:w="4837"/>
        <w:gridCol w:w="4049"/>
      </w:tblGrid>
      <w:tr w14:paraId="791368DD">
        <w:tblPrEx>
          <w:tblCellMar>
            <w:top w:w="0" w:type="dxa"/>
            <w:left w:w="108" w:type="dxa"/>
            <w:bottom w:w="0" w:type="dxa"/>
            <w:right w:w="108" w:type="dxa"/>
          </w:tblCellMar>
        </w:tblPrEx>
        <w:trPr>
          <w:cantSplit/>
          <w:trHeight w:val="3408" w:hRule="atLeast"/>
        </w:trPr>
        <w:tc>
          <w:tcPr>
            <w:tcW w:w="4837" w:type="dxa"/>
            <w:noWrap w:val="0"/>
            <w:vAlign w:val="top"/>
          </w:tcPr>
          <w:p w14:paraId="5F51D5C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甲方（盖章）：</w:t>
            </w:r>
          </w:p>
          <w:p w14:paraId="5B537D6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5ECAAD7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5BCCAE66">
            <w:pPr>
              <w:adjustRightInd w:val="0"/>
              <w:snapToGrid w:val="0"/>
              <w:spacing w:before="156" w:beforeLines="50"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联系电话：</w:t>
            </w:r>
          </w:p>
          <w:p w14:paraId="16E3A6EB">
            <w:pPr>
              <w:adjustRightInd w:val="0"/>
              <w:snapToGrid w:val="0"/>
              <w:spacing w:before="156" w:beforeLines="50"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单位地址：</w:t>
            </w:r>
          </w:p>
          <w:p w14:paraId="6D121987">
            <w:pPr>
              <w:adjustRightInd w:val="0"/>
              <w:snapToGrid w:val="0"/>
              <w:spacing w:before="156" w:beforeLines="50" w:line="360" w:lineRule="auto"/>
              <w:rPr>
                <w:rFonts w:hint="eastAsia" w:ascii="宋体" w:hAnsi="宋体" w:eastAsia="宋体" w:cs="宋体"/>
                <w:color w:val="auto"/>
                <w:sz w:val="24"/>
                <w:szCs w:val="24"/>
                <w:highlight w:val="none"/>
              </w:rPr>
            </w:pPr>
          </w:p>
        </w:tc>
        <w:tc>
          <w:tcPr>
            <w:tcW w:w="4049" w:type="dxa"/>
            <w:noWrap w:val="0"/>
            <w:vAlign w:val="top"/>
          </w:tcPr>
          <w:p w14:paraId="5CE2015F">
            <w:pPr>
              <w:adjustRightInd w:val="0"/>
              <w:snapToGrid w:val="0"/>
              <w:spacing w:before="156" w:beforeLines="50" w:line="360" w:lineRule="auto"/>
              <w:ind w:left="-132" w:leftChars="-63" w:firstLine="170" w:firstLineChars="7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乙方（盖章）：</w:t>
            </w:r>
          </w:p>
          <w:p w14:paraId="1D076444">
            <w:pPr>
              <w:adjustRightInd w:val="0"/>
              <w:snapToGrid w:val="0"/>
              <w:spacing w:before="156" w:beforeLines="50" w:line="360" w:lineRule="auto"/>
              <w:ind w:left="-132" w:leftChars="-63" w:firstLine="170" w:firstLineChars="7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400A3FA3">
            <w:pPr>
              <w:adjustRightInd w:val="0"/>
              <w:snapToGrid w:val="0"/>
              <w:spacing w:before="156" w:beforeLines="50" w:line="360" w:lineRule="auto"/>
              <w:ind w:left="-132" w:leftChars="-63" w:firstLine="170" w:firstLineChars="7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3524BC03">
            <w:pPr>
              <w:adjustRightInd w:val="0"/>
              <w:snapToGrid w:val="0"/>
              <w:spacing w:before="156" w:beforeLines="50" w:line="360" w:lineRule="auto"/>
              <w:ind w:left="-132" w:leftChars="-63" w:firstLine="170" w:firstLineChars="7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7A55C6EF">
            <w:pPr>
              <w:adjustRightInd w:val="0"/>
              <w:snapToGrid w:val="0"/>
              <w:spacing w:before="156" w:beforeLines="50" w:line="360" w:lineRule="auto"/>
              <w:ind w:left="-132" w:leftChars="-63" w:firstLine="170" w:firstLineChars="7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p w14:paraId="04BA0B13">
            <w:pPr>
              <w:adjustRightInd w:val="0"/>
              <w:snapToGrid w:val="0"/>
              <w:spacing w:before="156" w:beforeLines="50" w:line="360" w:lineRule="auto"/>
              <w:ind w:left="-132" w:leftChars="-63" w:firstLine="170" w:firstLineChars="7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p w14:paraId="5FB673A1">
            <w:pPr>
              <w:adjustRightInd w:val="0"/>
              <w:snapToGrid w:val="0"/>
              <w:spacing w:before="156" w:beforeLines="50" w:line="360" w:lineRule="auto"/>
              <w:ind w:left="-132" w:leftChars="-63" w:firstLine="170" w:firstLineChars="7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    号：</w:t>
            </w:r>
          </w:p>
        </w:tc>
      </w:tr>
    </w:tbl>
    <w:p w14:paraId="6DF2C19C">
      <w:pPr>
        <w:rPr>
          <w:rFonts w:hint="eastAsia" w:ascii="Times New Roman" w:hAnsi="Times New Roman" w:eastAsia="宋体" w:cs="Times New Roman"/>
          <w:color w:val="auto"/>
          <w:highlight w:val="none"/>
        </w:rPr>
      </w:pPr>
    </w:p>
    <w:bookmarkEnd w:id="200"/>
    <w:p w14:paraId="6A1B4BDB">
      <w:pPr>
        <w:pStyle w:val="12"/>
        <w:adjustRightInd w:val="0"/>
        <w:snapToGrid w:val="0"/>
        <w:spacing w:before="156" w:beforeLines="50" w:line="360" w:lineRule="auto"/>
        <w:jc w:val="center"/>
        <w:outlineLvl w:val="0"/>
        <w:rPr>
          <w:rFonts w:hint="eastAsia" w:hAnsi="宋体" w:eastAsia="宋体" w:cs="宋体"/>
          <w:b/>
          <w:color w:val="auto"/>
          <w:sz w:val="32"/>
          <w:szCs w:val="32"/>
          <w:highlight w:val="none"/>
        </w:rPr>
      </w:pPr>
      <w:bookmarkStart w:id="201" w:name="_Toc966161"/>
      <w:bookmarkStart w:id="202" w:name="_Toc6242775"/>
      <w:r>
        <w:rPr>
          <w:rFonts w:hint="eastAsia" w:hAnsi="宋体" w:eastAsia="宋体" w:cs="宋体"/>
          <w:b/>
          <w:color w:val="auto"/>
          <w:sz w:val="32"/>
          <w:szCs w:val="32"/>
          <w:highlight w:val="none"/>
        </w:rPr>
        <w:br w:type="page"/>
      </w:r>
      <w:bookmarkStart w:id="203" w:name="_Toc129095624"/>
      <w:bookmarkStart w:id="204" w:name="_Toc129095518"/>
      <w:r>
        <w:rPr>
          <w:rFonts w:hint="eastAsia" w:hAnsi="宋体" w:eastAsia="宋体" w:cs="宋体"/>
          <w:b/>
          <w:color w:val="auto"/>
          <w:sz w:val="32"/>
          <w:szCs w:val="32"/>
          <w:highlight w:val="none"/>
        </w:rPr>
        <w:t>第六章 投标文件的组成</w:t>
      </w:r>
      <w:bookmarkEnd w:id="201"/>
      <w:bookmarkEnd w:id="202"/>
      <w:bookmarkEnd w:id="203"/>
      <w:bookmarkEnd w:id="204"/>
    </w:p>
    <w:p w14:paraId="0D70D8E2">
      <w:pPr>
        <w:rPr>
          <w:rFonts w:hint="eastAsia" w:ascii="宋体" w:hAnsi="宋体" w:eastAsia="宋体" w:cs="宋体"/>
          <w:color w:val="auto"/>
          <w:highlight w:val="none"/>
        </w:rPr>
      </w:pPr>
      <w:bookmarkStart w:id="205" w:name="EBcb3f024efba0437192b8ee28c8d073c0"/>
    </w:p>
    <w:p w14:paraId="3ABD7C2E">
      <w:pPr>
        <w:pStyle w:val="37"/>
        <w:spacing w:after="400"/>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目  录</w:t>
      </w:r>
    </w:p>
    <w:p w14:paraId="1E69B744">
      <w:pPr>
        <w:pStyle w:val="38"/>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一、封面</w:t>
      </w:r>
    </w:p>
    <w:p w14:paraId="04811ECB">
      <w:pPr>
        <w:pStyle w:val="39"/>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二、投标函</w:t>
      </w:r>
    </w:p>
    <w:p w14:paraId="7740B0AF">
      <w:pPr>
        <w:pStyle w:val="40"/>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三、开标一览表</w:t>
      </w:r>
    </w:p>
    <w:p w14:paraId="074139C8">
      <w:pPr>
        <w:pStyle w:val="41"/>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四、商务响应/偏离表</w:t>
      </w:r>
    </w:p>
    <w:p w14:paraId="2106E8B1">
      <w:pPr>
        <w:pStyle w:val="42"/>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五</w:t>
      </w:r>
      <w:r>
        <w:rPr>
          <w:rFonts w:hint="eastAsia" w:ascii="宋体" w:hAnsi="宋体" w:eastAsia="宋体" w:cs="宋体"/>
          <w:color w:val="auto"/>
          <w:highlight w:val="none"/>
        </w:rPr>
        <w:t>、投标人认为需提供的其他资料</w:t>
      </w:r>
    </w:p>
    <w:p w14:paraId="05F19712">
      <w:pPr>
        <w:pStyle w:val="43"/>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rPr>
        <w:t>、货物/服务说明一览表</w:t>
      </w:r>
    </w:p>
    <w:p w14:paraId="14B775B9">
      <w:pPr>
        <w:pStyle w:val="44"/>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七</w:t>
      </w:r>
      <w:r>
        <w:rPr>
          <w:rFonts w:hint="eastAsia" w:ascii="宋体" w:hAnsi="宋体" w:eastAsia="宋体" w:cs="宋体"/>
          <w:color w:val="auto"/>
          <w:highlight w:val="none"/>
        </w:rPr>
        <w:t>、技术响应/偏离表</w:t>
      </w:r>
    </w:p>
    <w:p w14:paraId="766F168B">
      <w:pPr>
        <w:pStyle w:val="45"/>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八</w:t>
      </w:r>
      <w:r>
        <w:rPr>
          <w:rFonts w:hint="eastAsia" w:ascii="宋体" w:hAnsi="宋体" w:eastAsia="宋体" w:cs="宋体"/>
          <w:color w:val="auto"/>
          <w:highlight w:val="none"/>
        </w:rPr>
        <w:t>、投标货物/服务符合招标文件规定的证明文件</w:t>
      </w:r>
    </w:p>
    <w:p w14:paraId="2FB2A16E">
      <w:pPr>
        <w:pStyle w:val="46"/>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九</w:t>
      </w:r>
      <w:r>
        <w:rPr>
          <w:rFonts w:hint="eastAsia" w:ascii="宋体" w:hAnsi="宋体" w:eastAsia="宋体" w:cs="宋体"/>
          <w:color w:val="auto"/>
          <w:highlight w:val="none"/>
        </w:rPr>
        <w:t>、投标人认为需要提供的其他资料</w:t>
      </w:r>
    </w:p>
    <w:p w14:paraId="77667A3A">
      <w:pPr>
        <w:pStyle w:val="47"/>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十、电子开标一览表</w:t>
      </w:r>
    </w:p>
    <w:p w14:paraId="7A596A93">
      <w:pPr>
        <w:pStyle w:val="48"/>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eastAsia="zh-CN"/>
        </w:rPr>
        <w:t>一</w:t>
      </w:r>
      <w:r>
        <w:rPr>
          <w:rFonts w:hint="eastAsia" w:ascii="宋体" w:hAnsi="宋体" w:eastAsia="宋体" w:cs="宋体"/>
          <w:color w:val="auto"/>
          <w:highlight w:val="none"/>
        </w:rPr>
        <w:t>、资格证明文件封面</w:t>
      </w:r>
    </w:p>
    <w:p w14:paraId="4BAA244E">
      <w:pPr>
        <w:pStyle w:val="49"/>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、法定代表人身份证明</w:t>
      </w:r>
    </w:p>
    <w:p w14:paraId="03F8F48E">
      <w:pPr>
        <w:pStyle w:val="50"/>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、法定代表人授权委托书</w:t>
      </w:r>
    </w:p>
    <w:p w14:paraId="3D4C4205">
      <w:pPr>
        <w:pStyle w:val="51"/>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eastAsia="zh-CN"/>
        </w:rPr>
        <w:t>四</w:t>
      </w:r>
      <w:r>
        <w:rPr>
          <w:rFonts w:hint="eastAsia" w:ascii="宋体" w:hAnsi="宋体" w:eastAsia="宋体" w:cs="宋体"/>
          <w:color w:val="auto"/>
          <w:highlight w:val="none"/>
        </w:rPr>
        <w:t>、投标人具备投标资格的证明文件</w:t>
      </w:r>
    </w:p>
    <w:p w14:paraId="4A3BA7BE">
      <w:pPr>
        <w:pStyle w:val="52"/>
        <w:spacing w:before="240" w:after="240" w:line="200" w:lineRule="atLeast"/>
        <w:rPr>
          <w:rFonts w:hint="eastAsia" w:ascii="宋体" w:hAnsi="宋体" w:eastAsia="宋体" w:cs="宋体"/>
          <w:color w:val="auto"/>
          <w:highlight w:val="none"/>
        </w:rPr>
      </w:pPr>
    </w:p>
    <w:p w14:paraId="2BB12E40">
      <w:pPr>
        <w:pStyle w:val="53"/>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06" w:name="_Toc129095519"/>
      <w:bookmarkStart w:id="207" w:name="_Toc129095625"/>
      <w:r>
        <w:rPr>
          <w:rFonts w:hint="eastAsia" w:ascii="宋体" w:hAnsi="宋体" w:eastAsia="宋体" w:cs="宋体"/>
          <w:b/>
          <w:color w:val="auto"/>
          <w:sz w:val="32"/>
          <w:highlight w:val="none"/>
        </w:rPr>
        <w:t>一、封面</w:t>
      </w:r>
      <w:bookmarkEnd w:id="206"/>
      <w:bookmarkEnd w:id="207"/>
    </w:p>
    <w:p w14:paraId="6BAA3B3F">
      <w:pPr>
        <w:pStyle w:val="54"/>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3877C033">
      <w:pPr>
        <w:pStyle w:val="55"/>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p>
    <w:p w14:paraId="1E3B3ADB">
      <w:pPr>
        <w:pStyle w:val="56"/>
        <w:spacing w:before="900" w:after="900"/>
        <w:jc w:val="center"/>
        <w:rPr>
          <w:rFonts w:hint="eastAsia" w:ascii="宋体" w:hAnsi="宋体" w:eastAsia="宋体" w:cs="宋体"/>
          <w:b/>
          <w:bCs/>
          <w:color w:val="auto"/>
          <w:sz w:val="90"/>
          <w:szCs w:val="90"/>
          <w:highlight w:val="none"/>
        </w:rPr>
      </w:pPr>
      <w:r>
        <w:rPr>
          <w:rFonts w:hint="eastAsia" w:ascii="宋体" w:hAnsi="宋体" w:eastAsia="宋体" w:cs="宋体"/>
          <w:b/>
          <w:bCs/>
          <w:color w:val="auto"/>
          <w:sz w:val="90"/>
          <w:szCs w:val="90"/>
          <w:highlight w:val="none"/>
        </w:rPr>
        <w:t>国有企业</w:t>
      </w:r>
    </w:p>
    <w:p w14:paraId="505BFF11">
      <w:pPr>
        <w:pStyle w:val="57"/>
        <w:spacing w:before="900" w:after="900"/>
        <w:jc w:val="center"/>
        <w:rPr>
          <w:rFonts w:hint="eastAsia" w:ascii="宋体" w:hAnsi="宋体" w:eastAsia="宋体" w:cs="宋体"/>
          <w:b/>
          <w:bCs/>
          <w:color w:val="auto"/>
          <w:sz w:val="90"/>
          <w:szCs w:val="90"/>
          <w:highlight w:val="none"/>
        </w:rPr>
      </w:pPr>
      <w:r>
        <w:rPr>
          <w:rFonts w:hint="eastAsia" w:ascii="宋体" w:hAnsi="宋体" w:eastAsia="宋体" w:cs="宋体"/>
          <w:b/>
          <w:bCs/>
          <w:color w:val="auto"/>
          <w:sz w:val="90"/>
          <w:szCs w:val="90"/>
          <w:highlight w:val="none"/>
        </w:rPr>
        <w:t>公开招标电子投标文件</w:t>
      </w:r>
    </w:p>
    <w:p w14:paraId="73AD8821">
      <w:pPr>
        <w:pStyle w:val="58"/>
        <w:spacing w:before="560" w:after="560"/>
        <w:jc w:val="center"/>
        <w:rPr>
          <w:rFonts w:hint="eastAsia" w:ascii="宋体" w:hAnsi="宋体" w:eastAsia="宋体" w:cs="宋体"/>
          <w:b/>
          <w:bCs/>
          <w:color w:val="auto"/>
          <w:sz w:val="56"/>
          <w:szCs w:val="56"/>
          <w:highlight w:val="none"/>
        </w:rPr>
      </w:pPr>
      <w:r>
        <w:rPr>
          <w:rFonts w:hint="eastAsia" w:ascii="宋体" w:hAnsi="宋体" w:eastAsia="宋体" w:cs="宋体"/>
          <w:b/>
          <w:bCs/>
          <w:color w:val="auto"/>
          <w:sz w:val="56"/>
          <w:szCs w:val="56"/>
          <w:highlight w:val="none"/>
        </w:rPr>
        <w:t>第一册 商务技术文件</w:t>
      </w:r>
    </w:p>
    <w:p w14:paraId="18E1BFE6">
      <w:pPr>
        <w:pStyle w:val="59"/>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p>
    <w:tbl>
      <w:tblPr>
        <w:tblStyle w:val="19"/>
        <w:tblW w:w="4999" w:type="pct"/>
        <w:tblInd w:w="0" w:type="dxa"/>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autofit"/>
        <w:tblCellMar>
          <w:top w:w="0" w:type="dxa"/>
          <w:left w:w="0" w:type="dxa"/>
          <w:bottom w:w="0" w:type="dxa"/>
          <w:right w:w="0" w:type="dxa"/>
        </w:tblCellMar>
      </w:tblPr>
      <w:tblGrid>
        <w:gridCol w:w="8467"/>
        <w:gridCol w:w="2013"/>
      </w:tblGrid>
      <w:tr w14:paraId="60F55F80">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4039"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52E1D07F">
            <w:pPr>
              <w:pStyle w:val="60"/>
              <w:rPr>
                <w:rFonts w:hint="eastAsia" w:ascii="宋体" w:hAnsi="宋体" w:eastAsia="宋体" w:cs="宋体"/>
                <w:color w:val="auto"/>
                <w:highlight w:val="none"/>
              </w:rPr>
            </w:pPr>
            <w:r>
              <w:rPr>
                <w:rFonts w:hint="eastAsia" w:ascii="宋体" w:hAnsi="宋体" w:eastAsia="宋体" w:cs="宋体"/>
                <w:color w:val="auto"/>
                <w:sz w:val="44"/>
                <w:szCs w:val="44"/>
                <w:highlight w:val="none"/>
              </w:rPr>
              <w:t>采购项目名称：</w:t>
            </w:r>
          </w:p>
        </w:tc>
        <w:tc>
          <w:tcPr>
            <w:tcW w:w="960"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2E1981DF">
            <w:pPr>
              <w:pStyle w:val="60"/>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12183DB7">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4039"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3CFB4A2E">
            <w:pPr>
              <w:pStyle w:val="60"/>
              <w:rPr>
                <w:rFonts w:hint="eastAsia" w:ascii="宋体" w:hAnsi="宋体" w:eastAsia="宋体" w:cs="宋体"/>
                <w:color w:val="auto"/>
                <w:highlight w:val="none"/>
              </w:rPr>
            </w:pPr>
            <w:r>
              <w:rPr>
                <w:rFonts w:hint="eastAsia" w:ascii="宋体" w:hAnsi="宋体" w:eastAsia="宋体" w:cs="宋体"/>
                <w:color w:val="auto"/>
                <w:sz w:val="44"/>
                <w:szCs w:val="44"/>
                <w:highlight w:val="none"/>
              </w:rPr>
              <w:t>采  购  人：</w:t>
            </w:r>
          </w:p>
        </w:tc>
        <w:tc>
          <w:tcPr>
            <w:tcW w:w="960"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78F09A0F">
            <w:pPr>
              <w:pStyle w:val="60"/>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07AE2553">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4039"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4962FC70">
            <w:pPr>
              <w:pStyle w:val="60"/>
              <w:rPr>
                <w:rFonts w:hint="eastAsia" w:ascii="宋体" w:hAnsi="宋体" w:eastAsia="宋体" w:cs="宋体"/>
                <w:color w:val="auto"/>
                <w:highlight w:val="none"/>
              </w:rPr>
            </w:pPr>
            <w:r>
              <w:rPr>
                <w:rFonts w:hint="eastAsia" w:ascii="宋体" w:hAnsi="宋体" w:eastAsia="宋体" w:cs="宋体"/>
                <w:color w:val="auto"/>
                <w:sz w:val="44"/>
                <w:szCs w:val="44"/>
                <w:highlight w:val="none"/>
              </w:rPr>
              <w:t>招标编号：</w:t>
            </w:r>
          </w:p>
        </w:tc>
        <w:tc>
          <w:tcPr>
            <w:tcW w:w="960"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226C41FC">
            <w:pPr>
              <w:pStyle w:val="60"/>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6BED4F59">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4039"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41108633">
            <w:pPr>
              <w:pStyle w:val="60"/>
              <w:rPr>
                <w:rFonts w:hint="eastAsia" w:ascii="宋体" w:hAnsi="宋体" w:eastAsia="宋体" w:cs="宋体"/>
                <w:color w:val="auto"/>
                <w:highlight w:val="none"/>
              </w:rPr>
            </w:pPr>
            <w:r>
              <w:rPr>
                <w:rFonts w:hint="eastAsia" w:ascii="宋体" w:hAnsi="宋体" w:eastAsia="宋体" w:cs="宋体"/>
                <w:color w:val="auto"/>
                <w:sz w:val="44"/>
                <w:szCs w:val="44"/>
                <w:highlight w:val="none"/>
              </w:rPr>
              <w:t>采购代理机构：</w:t>
            </w:r>
          </w:p>
        </w:tc>
        <w:tc>
          <w:tcPr>
            <w:tcW w:w="960" w:type="pct"/>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427FBCC6">
            <w:pPr>
              <w:pStyle w:val="60"/>
              <w:rPr>
                <w:rFonts w:hint="eastAsia" w:ascii="宋体" w:hAnsi="宋体" w:eastAsia="宋体" w:cs="宋体"/>
                <w:color w:val="auto"/>
                <w:highlight w:val="none"/>
              </w:rPr>
            </w:pPr>
            <w:r>
              <w:rPr>
                <w:rFonts w:hint="eastAsia" w:ascii="宋体" w:hAnsi="宋体" w:eastAsia="宋体" w:cs="宋体"/>
                <w:color w:val="auto"/>
                <w:highlight w:val="none"/>
              </w:rPr>
              <w:t>   </w:t>
            </w:r>
          </w:p>
        </w:tc>
      </w:tr>
    </w:tbl>
    <w:p w14:paraId="49313E50">
      <w:pPr>
        <w:pStyle w:val="61"/>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p>
    <w:p w14:paraId="69824621">
      <w:pPr>
        <w:pStyle w:val="62"/>
        <w:spacing w:before="240" w:after="240"/>
        <w:ind w:firstLine="1749"/>
        <w:jc w:val="center"/>
        <w:rPr>
          <w:rFonts w:hint="eastAsia" w:ascii="宋体" w:hAnsi="宋体" w:eastAsia="宋体" w:cs="宋体"/>
          <w:b/>
          <w:bCs/>
          <w:color w:val="auto"/>
          <w:highlight w:val="none"/>
        </w:rPr>
      </w:pPr>
      <w:r>
        <w:rPr>
          <w:rFonts w:hint="eastAsia" w:ascii="宋体" w:hAnsi="宋体" w:eastAsia="宋体" w:cs="宋体"/>
          <w:b/>
          <w:bCs/>
          <w:color w:val="auto"/>
          <w:sz w:val="32"/>
          <w:szCs w:val="32"/>
          <w:highlight w:val="none"/>
        </w:rPr>
        <w:t>投标人 ：</w:t>
      </w:r>
      <w:r>
        <w:rPr>
          <w:rFonts w:hint="eastAsia" w:ascii="宋体" w:hAnsi="宋体" w:eastAsia="宋体" w:cs="宋体"/>
          <w:b/>
          <w:bCs/>
          <w:color w:val="auto"/>
          <w:highlight w:val="none"/>
        </w:rPr>
        <w:t>   </w:t>
      </w:r>
    </w:p>
    <w:p w14:paraId="0646C041">
      <w:pPr>
        <w:pStyle w:val="63"/>
        <w:spacing w:before="320" w:after="320"/>
        <w:ind w:firstLine="1749"/>
        <w:jc w:val="center"/>
        <w:rPr>
          <w:rFonts w:hint="eastAsia" w:ascii="宋体" w:hAnsi="宋体" w:eastAsia="宋体" w:cs="宋体"/>
          <w:color w:val="auto"/>
          <w:highlight w:val="none"/>
        </w:rPr>
      </w:pPr>
      <w:r>
        <w:rPr>
          <w:rFonts w:hint="eastAsia" w:ascii="宋体" w:hAnsi="宋体" w:eastAsia="宋体" w:cs="宋体"/>
          <w:b/>
          <w:bCs/>
          <w:color w:val="auto"/>
          <w:sz w:val="32"/>
          <w:szCs w:val="32"/>
          <w:highlight w:val="none"/>
        </w:rPr>
        <w:t>日  期 ：   </w:t>
      </w:r>
      <w:r>
        <w:rPr>
          <w:rFonts w:hint="eastAsia" w:ascii="宋体" w:hAnsi="宋体" w:eastAsia="宋体" w:cs="宋体"/>
          <w:color w:val="auto"/>
          <w:highlight w:val="none"/>
        </w:rPr>
        <w:t> </w:t>
      </w:r>
    </w:p>
    <w:p w14:paraId="63B77EAC">
      <w:pPr>
        <w:pStyle w:val="64"/>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08" w:name="_Toc129095626"/>
      <w:bookmarkStart w:id="209" w:name="_Toc129095520"/>
      <w:r>
        <w:rPr>
          <w:rFonts w:hint="eastAsia" w:ascii="宋体" w:hAnsi="宋体" w:eastAsia="宋体" w:cs="宋体"/>
          <w:b/>
          <w:color w:val="auto"/>
          <w:sz w:val="32"/>
          <w:highlight w:val="none"/>
          <w:lang w:eastAsia="zh-CN"/>
        </w:rPr>
        <w:t>二</w:t>
      </w:r>
      <w:r>
        <w:rPr>
          <w:rFonts w:hint="eastAsia" w:ascii="宋体" w:hAnsi="宋体" w:eastAsia="宋体" w:cs="宋体"/>
          <w:b/>
          <w:color w:val="auto"/>
          <w:sz w:val="32"/>
          <w:highlight w:val="none"/>
        </w:rPr>
        <w:t>、投标函</w:t>
      </w:r>
      <w:bookmarkEnd w:id="208"/>
      <w:bookmarkEnd w:id="209"/>
    </w:p>
    <w:p w14:paraId="26B4BA30">
      <w:pPr>
        <w:pStyle w:val="65"/>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（采购代理机构）：</w:t>
      </w:r>
    </w:p>
    <w:p w14:paraId="39B26355">
      <w:pPr>
        <w:pStyle w:val="66"/>
        <w:adjustRightInd w:val="0"/>
        <w:snapToGrid w:val="0"/>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根据贵方为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（项目名称）的投标邀请（</w:t>
      </w:r>
      <w:r>
        <w:rPr>
          <w:rFonts w:hint="eastAsia" w:ascii="宋体" w:hAnsi="宋体" w:eastAsia="宋体" w:cs="宋体"/>
          <w:color w:val="auto"/>
          <w:highlight w:val="none"/>
        </w:rPr>
        <w:t>招标编号</w:t>
      </w:r>
      <w:r>
        <w:rPr>
          <w:rFonts w:hint="eastAsia" w:ascii="宋体" w:hAnsi="宋体" w:eastAsia="宋体" w:cs="宋体"/>
          <w:iCs/>
          <w:color w:val="auto"/>
          <w:highlight w:val="none"/>
        </w:rPr>
        <w:t>：</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（姓名、职务）经正式授权并代表投标人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（投标人名称、地址）提交下述文件正本一份，并在此声明，所递交的投标文件内容完整、真实。</w:t>
      </w:r>
    </w:p>
    <w:p w14:paraId="637985D0">
      <w:pPr>
        <w:pStyle w:val="67"/>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第一册 商务技术文件</w:t>
      </w:r>
    </w:p>
    <w:p w14:paraId="36AF1AA7">
      <w:pPr>
        <w:pStyle w:val="68"/>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商务部分</w:t>
      </w:r>
    </w:p>
    <w:p w14:paraId="538C2FD9">
      <w:pPr>
        <w:pStyle w:val="69"/>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一、投标函</w:t>
      </w:r>
    </w:p>
    <w:p w14:paraId="679F1C5F">
      <w:pPr>
        <w:pStyle w:val="70"/>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二、开标一览表</w:t>
      </w:r>
    </w:p>
    <w:p w14:paraId="0EED6413">
      <w:pPr>
        <w:pStyle w:val="71"/>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三、商务响应/偏离表</w:t>
      </w:r>
    </w:p>
    <w:p w14:paraId="47E0648B">
      <w:pPr>
        <w:pStyle w:val="72"/>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四、投标人认为需提供的其他资料</w:t>
      </w:r>
    </w:p>
    <w:p w14:paraId="533E4613">
      <w:pPr>
        <w:pStyle w:val="73"/>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技术部分</w:t>
      </w:r>
    </w:p>
    <w:p w14:paraId="0FCE6A28">
      <w:pPr>
        <w:pStyle w:val="74"/>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五、货物说明一览表</w:t>
      </w:r>
    </w:p>
    <w:p w14:paraId="5548F959">
      <w:pPr>
        <w:pStyle w:val="75"/>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六、技术响应/偏离表</w:t>
      </w:r>
    </w:p>
    <w:p w14:paraId="5471808F">
      <w:pPr>
        <w:pStyle w:val="76"/>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七、投标货物符合招标文件规定的证明文件</w:t>
      </w:r>
    </w:p>
    <w:p w14:paraId="528BE04B">
      <w:pPr>
        <w:pStyle w:val="77"/>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八、投标人认为需提供的其他资料</w:t>
      </w:r>
    </w:p>
    <w:p w14:paraId="18538056">
      <w:pPr>
        <w:pStyle w:val="78"/>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第二册 资格证明文件</w:t>
      </w:r>
    </w:p>
    <w:p w14:paraId="016912FD">
      <w:pPr>
        <w:pStyle w:val="79"/>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九、法定代表人身份证明</w:t>
      </w:r>
    </w:p>
    <w:p w14:paraId="611C0B85">
      <w:pPr>
        <w:pStyle w:val="80"/>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十、授权委托书</w:t>
      </w:r>
    </w:p>
    <w:p w14:paraId="6718CD18">
      <w:pPr>
        <w:pStyle w:val="81"/>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十一、投标人具备投标资格的证明文件</w:t>
      </w:r>
    </w:p>
    <w:p w14:paraId="6B0D6391">
      <w:pPr>
        <w:pStyle w:val="82"/>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在此，签字代表宣布同意如下：</w:t>
      </w:r>
    </w:p>
    <w:p w14:paraId="79C5D6C5">
      <w:pPr>
        <w:pStyle w:val="83"/>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投标人严格按照招标文件的规定报价，见《开标一览表》。</w:t>
      </w:r>
    </w:p>
    <w:p w14:paraId="4872F025">
      <w:pPr>
        <w:pStyle w:val="84"/>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投标人将按招标文件的规定履行合同责任和义务。</w:t>
      </w:r>
    </w:p>
    <w:p w14:paraId="014A0AF2">
      <w:pPr>
        <w:pStyle w:val="85"/>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投标人已详细审查招标文件。我们完全理解并同意放弃对这方面有不明及误解的权力。</w:t>
      </w:r>
    </w:p>
    <w:p w14:paraId="47223C5F">
      <w:pPr>
        <w:pStyle w:val="86"/>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本投标有效期为自招标文件规定的提交投标文件截止之日起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个日历日。在投标有效期内，</w:t>
      </w:r>
      <w:r>
        <w:rPr>
          <w:rFonts w:hint="eastAsia" w:ascii="宋体" w:hAnsi="宋体" w:eastAsia="宋体" w:cs="宋体"/>
          <w:color w:val="auto"/>
          <w:highlight w:val="none"/>
        </w:rPr>
        <w:t>投标人同意遵守本</w:t>
      </w:r>
      <w:r>
        <w:rPr>
          <w:rFonts w:hint="eastAsia" w:ascii="宋体" w:hAnsi="宋体" w:eastAsia="宋体" w:cs="宋体"/>
          <w:color w:val="auto"/>
          <w:szCs w:val="21"/>
          <w:highlight w:val="none"/>
        </w:rPr>
        <w:t>投标</w:t>
      </w:r>
      <w:r>
        <w:rPr>
          <w:rFonts w:hint="eastAsia" w:ascii="宋体" w:hAnsi="宋体" w:eastAsia="宋体" w:cs="宋体"/>
          <w:color w:val="auto"/>
          <w:highlight w:val="none"/>
        </w:rPr>
        <w:t>文件中的承诺且在此期限期满之前</w:t>
      </w:r>
      <w:r>
        <w:rPr>
          <w:rFonts w:hint="eastAsia" w:ascii="宋体" w:hAnsi="宋体" w:eastAsia="宋体" w:cs="宋体"/>
          <w:color w:val="auto"/>
          <w:szCs w:val="21"/>
          <w:highlight w:val="none"/>
        </w:rPr>
        <w:t>投标</w:t>
      </w:r>
      <w:r>
        <w:rPr>
          <w:rFonts w:hint="eastAsia" w:ascii="宋体" w:hAnsi="宋体" w:eastAsia="宋体" w:cs="宋体"/>
          <w:color w:val="auto"/>
          <w:highlight w:val="none"/>
        </w:rPr>
        <w:t>文件</w:t>
      </w:r>
      <w:r>
        <w:rPr>
          <w:rFonts w:hint="eastAsia" w:ascii="宋体" w:hAnsi="宋体" w:eastAsia="宋体" w:cs="宋体"/>
          <w:color w:val="auto"/>
          <w:szCs w:val="21"/>
          <w:highlight w:val="none"/>
        </w:rPr>
        <w:t>对我方具有法律约束力</w:t>
      </w:r>
      <w:r>
        <w:rPr>
          <w:rFonts w:hint="eastAsia" w:ascii="宋体" w:hAnsi="宋体" w:eastAsia="宋体" w:cs="宋体"/>
          <w:color w:val="auto"/>
          <w:highlight w:val="none"/>
        </w:rPr>
        <w:t>。</w:t>
      </w:r>
    </w:p>
    <w:p w14:paraId="12B39BA1">
      <w:pPr>
        <w:pStyle w:val="87"/>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 xml:space="preserve">同意提供贵方可能要求的与其投标有关的一切数据或资料。 </w:t>
      </w:r>
    </w:p>
    <w:p w14:paraId="6B689CB3">
      <w:pPr>
        <w:pStyle w:val="88"/>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6.</w:t>
      </w:r>
      <w:r>
        <w:rPr>
          <w:rFonts w:hint="eastAsia" w:ascii="宋体" w:hAnsi="宋体" w:eastAsia="宋体" w:cs="宋体"/>
          <w:color w:val="auto"/>
          <w:szCs w:val="21"/>
          <w:highlight w:val="none"/>
        </w:rPr>
        <w:t>与本投标有关的一切正式往来信函请寄：地址：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EBD47C1">
      <w:pPr>
        <w:pStyle w:val="89"/>
        <w:adjustRightInd w:val="0"/>
        <w:snapToGrid w:val="0"/>
        <w:spacing w:line="360" w:lineRule="auto"/>
        <w:rPr>
          <w:rFonts w:hint="eastAsia" w:hAnsi="宋体" w:eastAsia="宋体" w:cs="宋体"/>
          <w:color w:val="auto"/>
          <w:highlight w:val="none"/>
        </w:rPr>
      </w:pPr>
    </w:p>
    <w:p w14:paraId="761033EB">
      <w:pPr>
        <w:pStyle w:val="91"/>
        <w:adjustRightInd w:val="0"/>
        <w:snapToGrid w:val="0"/>
        <w:spacing w:line="360" w:lineRule="auto"/>
        <w:rPr>
          <w:rFonts w:hint="eastAsia" w:hAnsi="宋体" w:eastAsia="宋体" w:cs="宋体"/>
          <w:color w:val="auto"/>
          <w:highlight w:val="none"/>
        </w:rPr>
      </w:pPr>
      <w:r>
        <w:rPr>
          <w:rFonts w:hint="eastAsia" w:hAnsi="宋体" w:eastAsia="宋体" w:cs="宋体"/>
          <w:color w:val="auto"/>
          <w:highlight w:val="none"/>
        </w:rPr>
        <w:t>投标人名称（盖单位章）：</w:t>
      </w:r>
    </w:p>
    <w:p w14:paraId="251BF0A8">
      <w:pPr>
        <w:pStyle w:val="93"/>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6BDDAA1">
      <w:pPr>
        <w:pStyle w:val="94"/>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10" w:name="_Toc129095521"/>
      <w:bookmarkStart w:id="211" w:name="_Toc129095627"/>
      <w:r>
        <w:rPr>
          <w:rFonts w:hint="eastAsia" w:ascii="宋体" w:hAnsi="宋体" w:eastAsia="宋体" w:cs="宋体"/>
          <w:b/>
          <w:color w:val="auto"/>
          <w:sz w:val="32"/>
          <w:highlight w:val="none"/>
          <w:lang w:eastAsia="zh-CN"/>
        </w:rPr>
        <w:t>三</w:t>
      </w:r>
      <w:r>
        <w:rPr>
          <w:rFonts w:hint="eastAsia" w:ascii="宋体" w:hAnsi="宋体" w:eastAsia="宋体" w:cs="宋体"/>
          <w:b/>
          <w:color w:val="auto"/>
          <w:sz w:val="32"/>
          <w:highlight w:val="none"/>
        </w:rPr>
        <w:t>、开标一览表</w:t>
      </w:r>
      <w:bookmarkEnd w:id="210"/>
      <w:bookmarkEnd w:id="211"/>
    </w:p>
    <w:p w14:paraId="7D1DE11D">
      <w:pPr>
        <w:pStyle w:val="95"/>
        <w:adjustRightInd w:val="0"/>
        <w:snapToGrid w:val="0"/>
        <w:ind w:left="-88" w:leftChars="-42"/>
        <w:jc w:val="center"/>
        <w:rPr>
          <w:rFonts w:hint="eastAsia" w:ascii="宋体" w:hAnsi="宋体" w:eastAsia="宋体" w:cs="宋体"/>
          <w:color w:val="auto"/>
          <w:sz w:val="24"/>
          <w:highlight w:val="none"/>
        </w:rPr>
      </w:pPr>
    </w:p>
    <w:p w14:paraId="444E88F2">
      <w:pPr>
        <w:pStyle w:val="96"/>
        <w:adjustRightInd w:val="0"/>
        <w:snapToGrid w:val="0"/>
        <w:ind w:left="-88" w:leftChars="-42"/>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tbl>
      <w:tblPr>
        <w:tblStyle w:val="19"/>
        <w:tblW w:w="1068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06"/>
        <w:gridCol w:w="3656"/>
        <w:gridCol w:w="4620"/>
      </w:tblGrid>
      <w:tr w14:paraId="1CFB34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2" w:hRule="atLeast"/>
          <w:jc w:val="center"/>
        </w:trPr>
        <w:tc>
          <w:tcPr>
            <w:tcW w:w="2406" w:type="dxa"/>
            <w:noWrap w:val="0"/>
            <w:vAlign w:val="center"/>
          </w:tcPr>
          <w:p w14:paraId="3065F0B6">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b/>
                <w:bCs/>
                <w:color w:val="auto"/>
                <w:kern w:val="0"/>
                <w:sz w:val="24"/>
                <w:szCs w:val="24"/>
                <w:highlight w:val="none"/>
                <w:lang w:bidi="ar"/>
              </w:rPr>
              <w:t>序号</w:t>
            </w:r>
          </w:p>
        </w:tc>
        <w:tc>
          <w:tcPr>
            <w:tcW w:w="3656" w:type="dxa"/>
            <w:tcBorders>
              <w:right w:val="single" w:color="auto" w:sz="4" w:space="0"/>
            </w:tcBorders>
            <w:noWrap w:val="0"/>
            <w:vAlign w:val="center"/>
          </w:tcPr>
          <w:p w14:paraId="119024B6">
            <w:pPr>
              <w:widowControl/>
              <w:jc w:val="center"/>
              <w:textAlignment w:val="center"/>
              <w:rPr>
                <w:rFonts w:ascii="宋体" w:hAnsi="宋体" w:eastAsia="宋体" w:cs="宋体"/>
                <w:color w:val="auto"/>
                <w:szCs w:val="21"/>
                <w:highlight w:val="none"/>
              </w:rPr>
            </w:pPr>
            <w:r>
              <w:rPr>
                <w:rFonts w:hint="eastAsia" w:ascii="宋体" w:hAnsi="宋体" w:eastAsia="宋体" w:cs="宋体"/>
                <w:b/>
                <w:bCs/>
                <w:color w:val="auto"/>
                <w:kern w:val="0"/>
                <w:sz w:val="24"/>
                <w:szCs w:val="24"/>
                <w:highlight w:val="none"/>
                <w:lang w:bidi="ar"/>
              </w:rPr>
              <w:t>分项名称</w:t>
            </w:r>
          </w:p>
        </w:tc>
        <w:tc>
          <w:tcPr>
            <w:tcW w:w="4620" w:type="dxa"/>
            <w:tcBorders>
              <w:left w:val="single" w:color="auto" w:sz="4" w:space="0"/>
            </w:tcBorders>
            <w:noWrap w:val="0"/>
            <w:vAlign w:val="center"/>
          </w:tcPr>
          <w:p w14:paraId="4610F0A7">
            <w:pPr>
              <w:pStyle w:val="97"/>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投标报价（元）</w:t>
            </w:r>
          </w:p>
        </w:tc>
      </w:tr>
      <w:tr w14:paraId="23EB82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2406" w:type="dxa"/>
            <w:noWrap w:val="0"/>
            <w:vAlign w:val="center"/>
          </w:tcPr>
          <w:p w14:paraId="0FC0C721">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1</w:t>
            </w:r>
          </w:p>
        </w:tc>
        <w:tc>
          <w:tcPr>
            <w:tcW w:w="3656" w:type="dxa"/>
            <w:tcBorders>
              <w:right w:val="single" w:color="auto" w:sz="4" w:space="0"/>
            </w:tcBorders>
            <w:noWrap w:val="0"/>
            <w:vAlign w:val="center"/>
          </w:tcPr>
          <w:p w14:paraId="630A3ECD">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组合式空调机组及配套设施采购和安装项目</w:t>
            </w:r>
          </w:p>
        </w:tc>
        <w:tc>
          <w:tcPr>
            <w:tcW w:w="4620" w:type="dxa"/>
            <w:tcBorders>
              <w:left w:val="single" w:color="auto" w:sz="4" w:space="0"/>
            </w:tcBorders>
            <w:noWrap w:val="0"/>
            <w:vAlign w:val="top"/>
          </w:tcPr>
          <w:p w14:paraId="6D3FB35C">
            <w:pPr>
              <w:pStyle w:val="97"/>
              <w:adjustRightInd w:val="0"/>
              <w:snapToGrid w:val="0"/>
              <w:ind w:left="-88" w:leftChars="-42"/>
              <w:jc w:val="left"/>
              <w:rPr>
                <w:rFonts w:hint="eastAsia" w:ascii="宋体" w:hAnsi="宋体" w:eastAsia="宋体" w:cs="宋体"/>
                <w:color w:val="auto"/>
                <w:szCs w:val="21"/>
                <w:highlight w:val="none"/>
              </w:rPr>
            </w:pPr>
          </w:p>
        </w:tc>
      </w:tr>
      <w:tr w14:paraId="6CE10B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2406" w:type="dxa"/>
            <w:noWrap w:val="0"/>
            <w:vAlign w:val="center"/>
          </w:tcPr>
          <w:p w14:paraId="3FF2B478">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2</w:t>
            </w:r>
          </w:p>
        </w:tc>
        <w:tc>
          <w:tcPr>
            <w:tcW w:w="3656" w:type="dxa"/>
            <w:tcBorders>
              <w:right w:val="single" w:color="auto" w:sz="4" w:space="0"/>
            </w:tcBorders>
            <w:noWrap w:val="0"/>
            <w:vAlign w:val="center"/>
          </w:tcPr>
          <w:p w14:paraId="11A67F5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实验室环境和自控系统设备采购和安装项目</w:t>
            </w:r>
          </w:p>
        </w:tc>
        <w:tc>
          <w:tcPr>
            <w:tcW w:w="4620" w:type="dxa"/>
            <w:tcBorders>
              <w:left w:val="single" w:color="auto" w:sz="4" w:space="0"/>
            </w:tcBorders>
            <w:noWrap w:val="0"/>
            <w:vAlign w:val="top"/>
          </w:tcPr>
          <w:p w14:paraId="7FD50A36">
            <w:pPr>
              <w:pStyle w:val="97"/>
              <w:adjustRightInd w:val="0"/>
              <w:snapToGrid w:val="0"/>
              <w:ind w:left="-88" w:leftChars="-42"/>
              <w:jc w:val="left"/>
              <w:rPr>
                <w:rFonts w:hint="eastAsia" w:ascii="宋体" w:hAnsi="宋体" w:eastAsia="宋体" w:cs="宋体"/>
                <w:color w:val="auto"/>
                <w:szCs w:val="21"/>
                <w:highlight w:val="none"/>
              </w:rPr>
            </w:pPr>
          </w:p>
        </w:tc>
      </w:tr>
      <w:tr w14:paraId="12945E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2406" w:type="dxa"/>
            <w:noWrap w:val="0"/>
            <w:vAlign w:val="center"/>
          </w:tcPr>
          <w:p w14:paraId="16BA1A13">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3</w:t>
            </w:r>
          </w:p>
        </w:tc>
        <w:tc>
          <w:tcPr>
            <w:tcW w:w="3656" w:type="dxa"/>
            <w:tcBorders>
              <w:right w:val="single" w:color="auto" w:sz="4" w:space="0"/>
            </w:tcBorders>
            <w:noWrap w:val="0"/>
            <w:vAlign w:val="center"/>
          </w:tcPr>
          <w:p w14:paraId="3707C91C">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实验室空气处理末端设备采购和安装项目</w:t>
            </w:r>
          </w:p>
        </w:tc>
        <w:tc>
          <w:tcPr>
            <w:tcW w:w="4620" w:type="dxa"/>
            <w:tcBorders>
              <w:left w:val="single" w:color="auto" w:sz="4" w:space="0"/>
            </w:tcBorders>
            <w:noWrap w:val="0"/>
            <w:vAlign w:val="top"/>
          </w:tcPr>
          <w:p w14:paraId="4BCF5458">
            <w:pPr>
              <w:pStyle w:val="97"/>
              <w:adjustRightInd w:val="0"/>
              <w:snapToGrid w:val="0"/>
              <w:ind w:left="-88" w:leftChars="-42"/>
              <w:jc w:val="left"/>
              <w:rPr>
                <w:rFonts w:hint="eastAsia" w:ascii="宋体" w:hAnsi="宋体" w:eastAsia="宋体" w:cs="宋体"/>
                <w:color w:val="auto"/>
                <w:szCs w:val="21"/>
                <w:highlight w:val="none"/>
              </w:rPr>
            </w:pPr>
          </w:p>
        </w:tc>
      </w:tr>
      <w:tr w14:paraId="12D167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2406" w:type="dxa"/>
            <w:noWrap w:val="0"/>
            <w:vAlign w:val="center"/>
          </w:tcPr>
          <w:p w14:paraId="329B1877">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4</w:t>
            </w:r>
          </w:p>
        </w:tc>
        <w:tc>
          <w:tcPr>
            <w:tcW w:w="3656" w:type="dxa"/>
            <w:tcBorders>
              <w:right w:val="single" w:color="auto" w:sz="4" w:space="0"/>
            </w:tcBorders>
            <w:noWrap w:val="0"/>
            <w:vAlign w:val="center"/>
          </w:tcPr>
          <w:p w14:paraId="10573065">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实验室一体化供气系统设备采购和安装项目</w:t>
            </w:r>
          </w:p>
        </w:tc>
        <w:tc>
          <w:tcPr>
            <w:tcW w:w="4620" w:type="dxa"/>
            <w:tcBorders>
              <w:left w:val="single" w:color="auto" w:sz="4" w:space="0"/>
            </w:tcBorders>
            <w:noWrap w:val="0"/>
            <w:vAlign w:val="top"/>
          </w:tcPr>
          <w:p w14:paraId="66145D9F">
            <w:pPr>
              <w:pStyle w:val="97"/>
              <w:adjustRightInd w:val="0"/>
              <w:snapToGrid w:val="0"/>
              <w:ind w:left="-88" w:leftChars="-42"/>
              <w:jc w:val="left"/>
              <w:rPr>
                <w:rFonts w:hint="eastAsia" w:ascii="宋体" w:hAnsi="宋体" w:eastAsia="宋体" w:cs="宋体"/>
                <w:color w:val="auto"/>
                <w:szCs w:val="21"/>
                <w:highlight w:val="none"/>
              </w:rPr>
            </w:pPr>
          </w:p>
        </w:tc>
      </w:tr>
      <w:tr w14:paraId="6DC17D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2406" w:type="dxa"/>
            <w:noWrap w:val="0"/>
            <w:vAlign w:val="center"/>
          </w:tcPr>
          <w:p w14:paraId="26CC49E9">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5</w:t>
            </w:r>
          </w:p>
        </w:tc>
        <w:tc>
          <w:tcPr>
            <w:tcW w:w="3656" w:type="dxa"/>
            <w:tcBorders>
              <w:right w:val="single" w:color="auto" w:sz="4" w:space="0"/>
            </w:tcBorders>
            <w:noWrap w:val="0"/>
            <w:vAlign w:val="center"/>
          </w:tcPr>
          <w:p w14:paraId="63E65050">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实验室成套污水处理设备采购及安装项目</w:t>
            </w:r>
          </w:p>
        </w:tc>
        <w:tc>
          <w:tcPr>
            <w:tcW w:w="4620" w:type="dxa"/>
            <w:tcBorders>
              <w:left w:val="single" w:color="auto" w:sz="4" w:space="0"/>
            </w:tcBorders>
            <w:noWrap w:val="0"/>
            <w:vAlign w:val="top"/>
          </w:tcPr>
          <w:p w14:paraId="30E0B706">
            <w:pPr>
              <w:pStyle w:val="97"/>
              <w:adjustRightInd w:val="0"/>
              <w:snapToGrid w:val="0"/>
              <w:ind w:left="-88" w:leftChars="-42"/>
              <w:jc w:val="left"/>
              <w:rPr>
                <w:rFonts w:hint="eastAsia" w:ascii="宋体" w:hAnsi="宋体" w:eastAsia="宋体" w:cs="宋体"/>
                <w:color w:val="auto"/>
                <w:szCs w:val="21"/>
                <w:highlight w:val="none"/>
              </w:rPr>
            </w:pPr>
          </w:p>
        </w:tc>
      </w:tr>
      <w:tr w14:paraId="2B1809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2406" w:type="dxa"/>
            <w:noWrap w:val="0"/>
            <w:vAlign w:val="center"/>
          </w:tcPr>
          <w:p w14:paraId="65BD9DEA">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6</w:t>
            </w:r>
          </w:p>
        </w:tc>
        <w:tc>
          <w:tcPr>
            <w:tcW w:w="3656" w:type="dxa"/>
            <w:tcBorders>
              <w:right w:val="single" w:color="auto" w:sz="4" w:space="0"/>
            </w:tcBorders>
            <w:noWrap w:val="0"/>
            <w:vAlign w:val="center"/>
          </w:tcPr>
          <w:p w14:paraId="5C54BD91">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 w:val="24"/>
                <w:szCs w:val="24"/>
                <w:highlight w:val="none"/>
                <w:lang w:bidi="ar"/>
              </w:rPr>
              <w:t>动物房实验室装配式设施采购及安装项目</w:t>
            </w:r>
          </w:p>
        </w:tc>
        <w:tc>
          <w:tcPr>
            <w:tcW w:w="4620" w:type="dxa"/>
            <w:tcBorders>
              <w:left w:val="single" w:color="auto" w:sz="4" w:space="0"/>
            </w:tcBorders>
            <w:noWrap w:val="0"/>
            <w:vAlign w:val="top"/>
          </w:tcPr>
          <w:p w14:paraId="1C8C4260">
            <w:pPr>
              <w:pStyle w:val="97"/>
              <w:adjustRightInd w:val="0"/>
              <w:snapToGrid w:val="0"/>
              <w:ind w:left="-88" w:leftChars="-42"/>
              <w:jc w:val="left"/>
              <w:rPr>
                <w:rFonts w:hint="eastAsia" w:ascii="宋体" w:hAnsi="宋体" w:eastAsia="宋体" w:cs="宋体"/>
                <w:color w:val="auto"/>
                <w:szCs w:val="21"/>
                <w:highlight w:val="none"/>
              </w:rPr>
            </w:pPr>
          </w:p>
        </w:tc>
      </w:tr>
      <w:tr w14:paraId="0D6F09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6062" w:type="dxa"/>
            <w:gridSpan w:val="2"/>
            <w:tcBorders>
              <w:right w:val="single" w:color="auto" w:sz="4" w:space="0"/>
            </w:tcBorders>
            <w:noWrap w:val="0"/>
            <w:vAlign w:val="center"/>
          </w:tcPr>
          <w:p w14:paraId="55639E89">
            <w:pPr>
              <w:widowControl/>
              <w:jc w:val="center"/>
              <w:textAlignment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总投标报价（元）</w:t>
            </w:r>
          </w:p>
        </w:tc>
        <w:tc>
          <w:tcPr>
            <w:tcW w:w="4620" w:type="dxa"/>
            <w:tcBorders>
              <w:left w:val="single" w:color="auto" w:sz="4" w:space="0"/>
            </w:tcBorders>
            <w:noWrap w:val="0"/>
            <w:vAlign w:val="top"/>
          </w:tcPr>
          <w:p w14:paraId="39576BC4">
            <w:pPr>
              <w:pStyle w:val="97"/>
              <w:adjustRightInd w:val="0"/>
              <w:snapToGrid w:val="0"/>
              <w:ind w:left="-88" w:leftChars="-42"/>
              <w:jc w:val="left"/>
              <w:rPr>
                <w:rFonts w:hint="eastAsia" w:ascii="宋体" w:hAnsi="宋体" w:eastAsia="宋体" w:cs="宋体"/>
                <w:color w:val="auto"/>
                <w:szCs w:val="21"/>
                <w:highlight w:val="none"/>
              </w:rPr>
            </w:pPr>
          </w:p>
        </w:tc>
      </w:tr>
    </w:tbl>
    <w:p w14:paraId="658BF34B">
      <w:pPr>
        <w:pStyle w:val="98"/>
        <w:adjustRightInd w:val="0"/>
        <w:snapToGrid w:val="0"/>
        <w:spacing w:line="360" w:lineRule="auto"/>
        <w:ind w:left="-88" w:leftChars="-42"/>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备注：</w:t>
      </w:r>
      <w:r>
        <w:rPr>
          <w:rFonts w:hint="eastAsia" w:ascii="宋体" w:hAnsi="宋体" w:eastAsia="宋体" w:cs="宋体"/>
          <w:color w:val="auto"/>
          <w:szCs w:val="21"/>
          <w:highlight w:val="none"/>
        </w:rPr>
        <w:t>（1）应按照第二章第14.1款的要求报价。</w:t>
      </w:r>
    </w:p>
    <w:p w14:paraId="7BDFA2CC">
      <w:pPr>
        <w:pStyle w:val="99"/>
        <w:adjustRightInd w:val="0"/>
        <w:snapToGrid w:val="0"/>
        <w:spacing w:line="360" w:lineRule="auto"/>
        <w:ind w:firstLine="420" w:firstLineChars="200"/>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（2）投标人的价格折扣应当直接在投标总价中给出。</w:t>
      </w:r>
    </w:p>
    <w:p w14:paraId="1B3E8CCE">
      <w:pPr>
        <w:pStyle w:val="100"/>
        <w:adjustRightInd w:val="0"/>
        <w:snapToGrid w:val="0"/>
        <w:spacing w:line="360" w:lineRule="auto"/>
        <w:ind w:firstLine="420" w:firstLineChars="200"/>
        <w:rPr>
          <w:rFonts w:hint="eastAsia" w:ascii="宋体" w:hAnsi="宋体" w:eastAsia="宋体" w:cs="宋体"/>
          <w:color w:val="auto"/>
          <w:szCs w:val="21"/>
          <w:highlight w:val="none"/>
        </w:rPr>
      </w:pPr>
    </w:p>
    <w:p w14:paraId="462284FA">
      <w:pPr>
        <w:pStyle w:val="101"/>
        <w:adjustRightInd w:val="0"/>
        <w:snapToGrid w:val="0"/>
        <w:spacing w:line="360" w:lineRule="auto"/>
        <w:ind w:firstLine="420" w:firstLineChars="200"/>
        <w:rPr>
          <w:rFonts w:hint="eastAsia" w:ascii="宋体" w:hAnsi="宋体" w:eastAsia="宋体" w:cs="宋体"/>
          <w:color w:val="auto"/>
          <w:szCs w:val="21"/>
          <w:highlight w:val="none"/>
        </w:rPr>
      </w:pPr>
    </w:p>
    <w:p w14:paraId="3709B5FE">
      <w:pPr>
        <w:pStyle w:val="102"/>
        <w:adjustRightInd w:val="0"/>
        <w:snapToGrid w:val="0"/>
        <w:spacing w:line="360" w:lineRule="auto"/>
        <w:rPr>
          <w:rFonts w:hint="eastAsia" w:ascii="宋体" w:hAnsi="宋体" w:eastAsia="宋体" w:cs="宋体"/>
          <w:color w:val="auto"/>
          <w:szCs w:val="21"/>
          <w:highlight w:val="none"/>
        </w:rPr>
      </w:pPr>
    </w:p>
    <w:p w14:paraId="101247AD">
      <w:pPr>
        <w:pStyle w:val="103"/>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投标人名称（盖单位章）：</w:t>
      </w:r>
    </w:p>
    <w:p w14:paraId="1690A97C">
      <w:pPr>
        <w:pStyle w:val="104"/>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2F1ACE2">
      <w:pPr>
        <w:rPr>
          <w:rFonts w:hint="eastAsia" w:ascii="Times New Roman" w:hAnsi="Times New Roman" w:eastAsia="宋体" w:cs="Times New Roman"/>
          <w:color w:val="auto"/>
          <w:highlight w:val="none"/>
        </w:rPr>
      </w:pPr>
    </w:p>
    <w:p w14:paraId="38E40D45">
      <w:pPr>
        <w:rPr>
          <w:rFonts w:hint="eastAsia" w:ascii="Times New Roman" w:hAnsi="Times New Roman" w:eastAsia="宋体" w:cs="Times New Roman"/>
          <w:color w:val="auto"/>
          <w:highlight w:val="none"/>
        </w:rPr>
      </w:pPr>
    </w:p>
    <w:p w14:paraId="733FBCF9">
      <w:pPr>
        <w:rPr>
          <w:rFonts w:hint="eastAsia" w:ascii="Times New Roman" w:hAnsi="Times New Roman" w:eastAsia="宋体" w:cs="Times New Roman"/>
          <w:color w:val="auto"/>
          <w:highlight w:val="none"/>
        </w:rPr>
      </w:pPr>
    </w:p>
    <w:p w14:paraId="606B3BBA">
      <w:pPr>
        <w:jc w:val="center"/>
        <w:rPr>
          <w:rFonts w:hint="eastAsia" w:ascii="Times New Roman" w:hAnsi="Times New Roman" w:eastAsia="宋体" w:cs="Times New Roman"/>
          <w:color w:val="auto"/>
          <w:highlight w:val="none"/>
        </w:rPr>
      </w:pPr>
      <w:r>
        <w:rPr>
          <w:rFonts w:hint="eastAsia" w:ascii="宋体" w:hAnsi="宋体" w:eastAsia="宋体" w:cs="宋体"/>
          <w:color w:val="auto"/>
          <w:highlight w:val="none"/>
        </w:rPr>
        <w:br w:type="page"/>
      </w:r>
      <w:r>
        <w:rPr>
          <w:rFonts w:hint="eastAsia" w:ascii="Times New Roman" w:hAnsi="Times New Roman" w:eastAsia="宋体" w:cs="Times New Roman"/>
          <w:b/>
          <w:bCs/>
          <w:color w:val="auto"/>
          <w:sz w:val="30"/>
          <w:szCs w:val="30"/>
          <w:highlight w:val="none"/>
        </w:rPr>
        <w:t>清单报价表</w:t>
      </w:r>
    </w:p>
    <w:p w14:paraId="4E08F168">
      <w:pP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招标编号：                  </w:t>
      </w:r>
    </w:p>
    <w:tbl>
      <w:tblPr>
        <w:tblStyle w:val="19"/>
        <w:tblW w:w="4998" w:type="pct"/>
        <w:tblInd w:w="0" w:type="dxa"/>
        <w:tblLayout w:type="autofit"/>
        <w:tblCellMar>
          <w:top w:w="0" w:type="dxa"/>
          <w:left w:w="108" w:type="dxa"/>
          <w:bottom w:w="0" w:type="dxa"/>
          <w:right w:w="108" w:type="dxa"/>
        </w:tblCellMar>
      </w:tblPr>
      <w:tblGrid>
        <w:gridCol w:w="671"/>
        <w:gridCol w:w="1348"/>
        <w:gridCol w:w="3883"/>
        <w:gridCol w:w="1280"/>
        <w:gridCol w:w="1748"/>
        <w:gridCol w:w="1748"/>
      </w:tblGrid>
      <w:tr w14:paraId="2322BEC0">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43947">
            <w:pPr>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序号</w:t>
            </w: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EA5DA">
            <w:pPr>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产品名称</w:t>
            </w: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F91F1">
            <w:pPr>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计量单位</w:t>
            </w: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27956">
            <w:pPr>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工程量</w:t>
            </w: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5F1F9">
            <w:pPr>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投标单价</w:t>
            </w: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98DEB">
            <w:pPr>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合计</w:t>
            </w:r>
          </w:p>
        </w:tc>
      </w:tr>
      <w:tr w14:paraId="08673BF2">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DEE47">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649AA">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83EB6">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F4EF5">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1601A">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115D1">
            <w:pPr>
              <w:rPr>
                <w:rFonts w:hint="eastAsia" w:ascii="Times New Roman" w:hAnsi="Times New Roman" w:eastAsia="宋体" w:cs="Times New Roman"/>
                <w:color w:val="auto"/>
                <w:highlight w:val="none"/>
              </w:rPr>
            </w:pPr>
          </w:p>
        </w:tc>
      </w:tr>
      <w:tr w14:paraId="26A4D648">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19F79">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555C1A">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2EF06">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B2B2E">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ACDE9">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6387C">
            <w:pPr>
              <w:rPr>
                <w:rFonts w:hint="eastAsia" w:ascii="Times New Roman" w:hAnsi="Times New Roman" w:eastAsia="宋体" w:cs="Times New Roman"/>
                <w:color w:val="auto"/>
                <w:highlight w:val="none"/>
              </w:rPr>
            </w:pPr>
          </w:p>
        </w:tc>
      </w:tr>
      <w:tr w14:paraId="21C24507">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DA852">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C885E">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E60C9">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D1DDD">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B6BBC">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1769D">
            <w:pPr>
              <w:rPr>
                <w:rFonts w:hint="eastAsia" w:ascii="Times New Roman" w:hAnsi="Times New Roman" w:eastAsia="宋体" w:cs="Times New Roman"/>
                <w:color w:val="auto"/>
                <w:highlight w:val="none"/>
              </w:rPr>
            </w:pPr>
          </w:p>
        </w:tc>
      </w:tr>
      <w:tr w14:paraId="18ED0FD5">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21924">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DEF67">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B3BA8">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851F2">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C652BD">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3BFB3">
            <w:pPr>
              <w:rPr>
                <w:rFonts w:hint="eastAsia" w:ascii="Times New Roman" w:hAnsi="Times New Roman" w:eastAsia="宋体" w:cs="Times New Roman"/>
                <w:color w:val="auto"/>
                <w:highlight w:val="none"/>
              </w:rPr>
            </w:pPr>
          </w:p>
        </w:tc>
      </w:tr>
      <w:tr w14:paraId="463F6947">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BD554">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95A40C">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13079">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22AED">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C3160">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2F5CD">
            <w:pPr>
              <w:rPr>
                <w:rFonts w:hint="eastAsia" w:ascii="Times New Roman" w:hAnsi="Times New Roman" w:eastAsia="宋体" w:cs="Times New Roman"/>
                <w:color w:val="auto"/>
                <w:highlight w:val="none"/>
              </w:rPr>
            </w:pPr>
          </w:p>
        </w:tc>
      </w:tr>
      <w:tr w14:paraId="45170E0D">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813A9">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58B49">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D3052">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A800C">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E2768">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71E93">
            <w:pPr>
              <w:rPr>
                <w:rFonts w:hint="eastAsia" w:ascii="Times New Roman" w:hAnsi="Times New Roman" w:eastAsia="宋体" w:cs="Times New Roman"/>
                <w:color w:val="auto"/>
                <w:highlight w:val="none"/>
              </w:rPr>
            </w:pPr>
          </w:p>
        </w:tc>
      </w:tr>
      <w:tr w14:paraId="41EE6095">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1EECE">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1900F">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AD7B6">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F0AD0">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76A67">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1D75F">
            <w:pPr>
              <w:rPr>
                <w:rFonts w:hint="eastAsia" w:ascii="Times New Roman" w:hAnsi="Times New Roman" w:eastAsia="宋体" w:cs="Times New Roman"/>
                <w:color w:val="auto"/>
                <w:highlight w:val="none"/>
              </w:rPr>
            </w:pPr>
          </w:p>
        </w:tc>
      </w:tr>
      <w:tr w14:paraId="2544E1D7">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3AA4B">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05D52">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142013">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44456">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46F2B8">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7DEB4">
            <w:pPr>
              <w:rPr>
                <w:rFonts w:hint="eastAsia" w:ascii="Times New Roman" w:hAnsi="Times New Roman" w:eastAsia="宋体" w:cs="Times New Roman"/>
                <w:color w:val="auto"/>
                <w:highlight w:val="none"/>
              </w:rPr>
            </w:pPr>
          </w:p>
        </w:tc>
      </w:tr>
      <w:tr w14:paraId="2A1110A6">
        <w:tblPrEx>
          <w:tblCellMar>
            <w:top w:w="0" w:type="dxa"/>
            <w:left w:w="108" w:type="dxa"/>
            <w:bottom w:w="0" w:type="dxa"/>
            <w:right w:w="108" w:type="dxa"/>
          </w:tblCellMar>
        </w:tblPrEx>
        <w:trPr>
          <w:trHeight w:val="5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86DA3">
            <w:pPr>
              <w:rPr>
                <w:rFonts w:hint="eastAsia" w:ascii="Times New Roman" w:hAnsi="Times New Roman" w:eastAsia="宋体" w:cs="Times New Roman"/>
                <w:color w:val="auto"/>
                <w:highlight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0D65A">
            <w:pPr>
              <w:rPr>
                <w:rFonts w:hint="eastAsia" w:ascii="Times New Roman" w:hAnsi="Times New Roman" w:eastAsia="宋体" w:cs="Times New Roman"/>
                <w:color w:val="auto"/>
                <w:highlight w:val="none"/>
              </w:rPr>
            </w:pPr>
          </w:p>
        </w:tc>
        <w:tc>
          <w:tcPr>
            <w:tcW w:w="18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43173">
            <w:pPr>
              <w:rPr>
                <w:rFonts w:hint="eastAsia" w:ascii="Times New Roman" w:hAnsi="Times New Roman" w:eastAsia="宋体" w:cs="Times New Roman"/>
                <w:color w:val="auto"/>
                <w:highlight w:val="none"/>
              </w:rPr>
            </w:pPr>
          </w:p>
        </w:tc>
        <w:tc>
          <w:tcPr>
            <w:tcW w:w="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6AB31">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90DB5">
            <w:pPr>
              <w:rPr>
                <w:rFonts w:hint="eastAsia" w:ascii="Times New Roman" w:hAnsi="Times New Roman" w:eastAsia="宋体" w:cs="Times New Roman"/>
                <w:color w:val="auto"/>
                <w:highlight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DDDF8">
            <w:pPr>
              <w:rPr>
                <w:rFonts w:hint="eastAsia" w:ascii="Times New Roman" w:hAnsi="Times New Roman" w:eastAsia="宋体" w:cs="Times New Roman"/>
                <w:color w:val="auto"/>
                <w:highlight w:val="none"/>
              </w:rPr>
            </w:pPr>
          </w:p>
        </w:tc>
      </w:tr>
    </w:tbl>
    <w:p w14:paraId="56DB78EF">
      <w:pP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w:t>
      </w:r>
    </w:p>
    <w:p w14:paraId="10D31A20">
      <w:pP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1.投标人应当按照招标文件“第四章技术规格、参数与要求”中的“项目清单及明细”，并结合自身深化设计进行明细报价。</w:t>
      </w:r>
    </w:p>
    <w:p w14:paraId="759FB5C2">
      <w:pP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2.本表应对应“开标一览表”。投标人如果不提供清单报价表，其投标无效。</w:t>
      </w:r>
    </w:p>
    <w:p w14:paraId="516D982E">
      <w:pP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3.不得填写“免费”或“赠与”，也不得进行“零”报价，否则投标无效。</w:t>
      </w:r>
    </w:p>
    <w:p w14:paraId="78CD9618">
      <w:pP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4.投标人在提交投标文件的截止时间前修改“开标一览表”中的投标报价的，本表相应内容应同时修改。否则，清单报价表按投标报价修改的相同比例进行调整，其风险由投标人</w:t>
      </w:r>
      <w:r>
        <w:rPr>
          <w:rFonts w:hint="eastAsia" w:ascii="Times New Roman" w:hAnsi="Times New Roman" w:eastAsia="宋体" w:cs="Times New Roman"/>
          <w:color w:val="auto"/>
          <w:highlight w:val="none"/>
          <w:lang w:eastAsia="zh-CN"/>
        </w:rPr>
        <w:t>自己</w:t>
      </w:r>
      <w:r>
        <w:rPr>
          <w:rFonts w:hint="eastAsia" w:ascii="Times New Roman" w:hAnsi="Times New Roman" w:eastAsia="宋体" w:cs="Times New Roman"/>
          <w:color w:val="auto"/>
          <w:highlight w:val="none"/>
        </w:rPr>
        <w:t>承担。</w:t>
      </w:r>
    </w:p>
    <w:p w14:paraId="2DB2012C">
      <w:pPr>
        <w:rPr>
          <w:rFonts w:hint="eastAsia" w:ascii="Times New Roman" w:hAnsi="Times New Roman" w:eastAsia="宋体" w:cs="Times New Roman"/>
          <w:color w:val="auto"/>
          <w:highlight w:val="none"/>
        </w:rPr>
      </w:pPr>
    </w:p>
    <w:p w14:paraId="56673FA2">
      <w:pPr>
        <w:rPr>
          <w:rFonts w:hint="eastAsia" w:ascii="Times New Roman" w:hAnsi="Times New Roman" w:eastAsia="宋体" w:cs="Times New Roman"/>
          <w:color w:val="auto"/>
          <w:highlight w:val="none"/>
        </w:rPr>
      </w:pPr>
    </w:p>
    <w:p w14:paraId="473FD759">
      <w:pPr>
        <w:rPr>
          <w:rFonts w:hint="eastAsia" w:ascii="Times New Roman" w:hAnsi="Times New Roman" w:eastAsia="宋体" w:cs="Times New Roman"/>
          <w:color w:val="auto"/>
          <w:highlight w:val="none"/>
        </w:rPr>
      </w:pPr>
    </w:p>
    <w:p w14:paraId="322392E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投标人名称（盖单位章）：</w:t>
      </w:r>
    </w:p>
    <w:p w14:paraId="0591856C">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0414884">
      <w:pPr>
        <w:pStyle w:val="105"/>
        <w:jc w:val="both"/>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12" w:name="_Toc129095522"/>
      <w:bookmarkStart w:id="213" w:name="_Toc129095628"/>
      <w:r>
        <w:rPr>
          <w:rFonts w:hint="eastAsia" w:ascii="宋体" w:hAnsi="宋体" w:eastAsia="宋体" w:cs="宋体"/>
          <w:b/>
          <w:color w:val="auto"/>
          <w:sz w:val="32"/>
          <w:highlight w:val="none"/>
          <w:lang w:eastAsia="zh-CN"/>
        </w:rPr>
        <w:t>四</w:t>
      </w:r>
      <w:r>
        <w:rPr>
          <w:rFonts w:hint="eastAsia" w:ascii="宋体" w:hAnsi="宋体" w:eastAsia="宋体" w:cs="宋体"/>
          <w:b/>
          <w:color w:val="auto"/>
          <w:sz w:val="32"/>
          <w:highlight w:val="none"/>
        </w:rPr>
        <w:t>、商务响应/偏离表</w:t>
      </w:r>
      <w:bookmarkEnd w:id="212"/>
      <w:bookmarkEnd w:id="213"/>
    </w:p>
    <w:p w14:paraId="26741548">
      <w:pPr>
        <w:pStyle w:val="106"/>
        <w:adjustRightInd w:val="0"/>
        <w:snapToGrid w:val="0"/>
        <w:rPr>
          <w:rFonts w:hint="eastAsia" w:ascii="宋体" w:hAnsi="宋体" w:eastAsia="宋体" w:cs="宋体"/>
          <w:color w:val="auto"/>
          <w:szCs w:val="21"/>
          <w:highlight w:val="none"/>
          <w:u w:val="single"/>
        </w:rPr>
      </w:pPr>
      <w:r>
        <w:rPr>
          <w:rFonts w:hint="eastAsia" w:ascii="宋体" w:hAnsi="宋体" w:eastAsia="宋体" w:cs="宋体"/>
          <w:color w:val="auto"/>
          <w:spacing w:val="28"/>
          <w:szCs w:val="21"/>
          <w:highlight w:val="none"/>
        </w:rPr>
        <w:t>招标编号</w:t>
      </w:r>
      <w:r>
        <w:rPr>
          <w:rFonts w:hint="eastAsia" w:ascii="宋体" w:hAnsi="宋体" w:eastAsia="宋体" w:cs="宋体"/>
          <w:color w:val="auto"/>
          <w:spacing w:val="28"/>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tbl>
      <w:tblPr>
        <w:tblStyle w:val="1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171"/>
        <w:gridCol w:w="3094"/>
        <w:gridCol w:w="3272"/>
        <w:gridCol w:w="1715"/>
        <w:gridCol w:w="1270"/>
      </w:tblGrid>
      <w:tr w14:paraId="205946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171" w:type="dxa"/>
            <w:noWrap w:val="0"/>
            <w:vAlign w:val="center"/>
          </w:tcPr>
          <w:p w14:paraId="2CEA2702">
            <w:pPr>
              <w:pStyle w:val="10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序</w:t>
            </w:r>
            <w:r>
              <w:rPr>
                <w:rFonts w:hint="eastAsia" w:ascii="宋体" w:hAnsi="宋体" w:eastAsia="宋体" w:cs="宋体"/>
                <w:color w:val="auto"/>
                <w:szCs w:val="21"/>
                <w:highlight w:val="none"/>
              </w:rPr>
              <w:t>号</w:t>
            </w:r>
          </w:p>
        </w:tc>
        <w:tc>
          <w:tcPr>
            <w:tcW w:w="3094" w:type="dxa"/>
            <w:noWrap w:val="0"/>
            <w:vAlign w:val="center"/>
          </w:tcPr>
          <w:p w14:paraId="5D372B1B">
            <w:pPr>
              <w:pStyle w:val="10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招标文件章节</w:t>
            </w:r>
            <w:r>
              <w:rPr>
                <w:rFonts w:hint="eastAsia" w:ascii="宋体" w:hAnsi="宋体" w:eastAsia="宋体" w:cs="宋体"/>
                <w:bCs/>
                <w:color w:val="auto"/>
                <w:szCs w:val="21"/>
                <w:highlight w:val="none"/>
              </w:rPr>
              <w:t>和条</w:t>
            </w:r>
            <w:r>
              <w:rPr>
                <w:rFonts w:hint="eastAsia" w:ascii="宋体" w:hAnsi="宋体" w:eastAsia="宋体" w:cs="宋体"/>
                <w:color w:val="auto"/>
                <w:szCs w:val="21"/>
                <w:highlight w:val="none"/>
              </w:rPr>
              <w:t>款号</w:t>
            </w:r>
          </w:p>
        </w:tc>
        <w:tc>
          <w:tcPr>
            <w:tcW w:w="3272" w:type="dxa"/>
            <w:noWrap w:val="0"/>
            <w:vAlign w:val="center"/>
          </w:tcPr>
          <w:p w14:paraId="149FB698">
            <w:pPr>
              <w:pStyle w:val="10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投标文件章节</w:t>
            </w:r>
            <w:r>
              <w:rPr>
                <w:rFonts w:hint="eastAsia" w:ascii="宋体" w:hAnsi="宋体" w:eastAsia="宋体" w:cs="宋体"/>
                <w:bCs/>
                <w:color w:val="auto"/>
                <w:szCs w:val="21"/>
                <w:highlight w:val="none"/>
              </w:rPr>
              <w:t>和条</w:t>
            </w:r>
            <w:r>
              <w:rPr>
                <w:rFonts w:hint="eastAsia" w:ascii="宋体" w:hAnsi="宋体" w:eastAsia="宋体" w:cs="宋体"/>
                <w:color w:val="auto"/>
                <w:szCs w:val="21"/>
                <w:highlight w:val="none"/>
              </w:rPr>
              <w:t>款号</w:t>
            </w:r>
          </w:p>
        </w:tc>
        <w:tc>
          <w:tcPr>
            <w:tcW w:w="1715" w:type="dxa"/>
            <w:noWrap w:val="0"/>
            <w:vAlign w:val="center"/>
          </w:tcPr>
          <w:p w14:paraId="0A484F97">
            <w:pPr>
              <w:pStyle w:val="10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响应/偏离</w:t>
            </w:r>
          </w:p>
        </w:tc>
        <w:tc>
          <w:tcPr>
            <w:tcW w:w="1270" w:type="dxa"/>
            <w:noWrap w:val="0"/>
            <w:vAlign w:val="center"/>
          </w:tcPr>
          <w:p w14:paraId="0BE9CE53">
            <w:pPr>
              <w:pStyle w:val="10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18ECD0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2CD046CC">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0138067B">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12D4C112">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0DFFDFE3">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6D2D1F13">
            <w:pPr>
              <w:pStyle w:val="107"/>
              <w:adjustRightInd w:val="0"/>
              <w:snapToGrid w:val="0"/>
              <w:ind w:left="-88" w:leftChars="-42"/>
              <w:jc w:val="center"/>
              <w:rPr>
                <w:rFonts w:hint="eastAsia" w:ascii="宋体" w:hAnsi="宋体" w:eastAsia="宋体" w:cs="宋体"/>
                <w:color w:val="auto"/>
                <w:szCs w:val="21"/>
                <w:highlight w:val="none"/>
              </w:rPr>
            </w:pPr>
          </w:p>
        </w:tc>
      </w:tr>
      <w:tr w14:paraId="24CFC1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433753E6">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231A6099">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017128F2">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317EDED8">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001F259C">
            <w:pPr>
              <w:pStyle w:val="107"/>
              <w:adjustRightInd w:val="0"/>
              <w:snapToGrid w:val="0"/>
              <w:ind w:left="-88" w:leftChars="-42"/>
              <w:jc w:val="center"/>
              <w:rPr>
                <w:rFonts w:hint="eastAsia" w:ascii="宋体" w:hAnsi="宋体" w:eastAsia="宋体" w:cs="宋体"/>
                <w:color w:val="auto"/>
                <w:szCs w:val="21"/>
                <w:highlight w:val="none"/>
              </w:rPr>
            </w:pPr>
          </w:p>
        </w:tc>
      </w:tr>
      <w:tr w14:paraId="185C19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03C2C507">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4F8B1679">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5C84F5E9">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652818B1">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2EF468FF">
            <w:pPr>
              <w:pStyle w:val="107"/>
              <w:adjustRightInd w:val="0"/>
              <w:snapToGrid w:val="0"/>
              <w:ind w:left="-88" w:leftChars="-42"/>
              <w:jc w:val="center"/>
              <w:rPr>
                <w:rFonts w:hint="eastAsia" w:ascii="宋体" w:hAnsi="宋体" w:eastAsia="宋体" w:cs="宋体"/>
                <w:color w:val="auto"/>
                <w:szCs w:val="21"/>
                <w:highlight w:val="none"/>
              </w:rPr>
            </w:pPr>
          </w:p>
        </w:tc>
      </w:tr>
      <w:tr w14:paraId="0EEBF0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0E61C977">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3C948257">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069568A3">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4828F4D9">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67A49279">
            <w:pPr>
              <w:pStyle w:val="107"/>
              <w:adjustRightInd w:val="0"/>
              <w:snapToGrid w:val="0"/>
              <w:ind w:left="-88" w:leftChars="-42"/>
              <w:jc w:val="center"/>
              <w:rPr>
                <w:rFonts w:hint="eastAsia" w:ascii="宋体" w:hAnsi="宋体" w:eastAsia="宋体" w:cs="宋体"/>
                <w:color w:val="auto"/>
                <w:szCs w:val="21"/>
                <w:highlight w:val="none"/>
              </w:rPr>
            </w:pPr>
          </w:p>
        </w:tc>
      </w:tr>
      <w:tr w14:paraId="53EE88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75D2DB65">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2042FF0E">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63EC0E64">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2C64005F">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683728CF">
            <w:pPr>
              <w:pStyle w:val="107"/>
              <w:adjustRightInd w:val="0"/>
              <w:snapToGrid w:val="0"/>
              <w:ind w:left="-88" w:leftChars="-42"/>
              <w:jc w:val="center"/>
              <w:rPr>
                <w:rFonts w:hint="eastAsia" w:ascii="宋体" w:hAnsi="宋体" w:eastAsia="宋体" w:cs="宋体"/>
                <w:color w:val="auto"/>
                <w:szCs w:val="21"/>
                <w:highlight w:val="none"/>
              </w:rPr>
            </w:pPr>
          </w:p>
        </w:tc>
      </w:tr>
      <w:tr w14:paraId="7AEC7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4AF4F44D">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0ED2C49A">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4CFB6FCF">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3E53C014">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158FC6DF">
            <w:pPr>
              <w:pStyle w:val="107"/>
              <w:adjustRightInd w:val="0"/>
              <w:snapToGrid w:val="0"/>
              <w:ind w:left="-88" w:leftChars="-42"/>
              <w:jc w:val="center"/>
              <w:rPr>
                <w:rFonts w:hint="eastAsia" w:ascii="宋体" w:hAnsi="宋体" w:eastAsia="宋体" w:cs="宋体"/>
                <w:color w:val="auto"/>
                <w:szCs w:val="21"/>
                <w:highlight w:val="none"/>
              </w:rPr>
            </w:pPr>
          </w:p>
        </w:tc>
      </w:tr>
      <w:tr w14:paraId="1FE3B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25D292A0">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7466C80A">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7FFCD8EC">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1C6B1A9B">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49FF8CF0">
            <w:pPr>
              <w:pStyle w:val="107"/>
              <w:adjustRightInd w:val="0"/>
              <w:snapToGrid w:val="0"/>
              <w:ind w:left="-88" w:leftChars="-42"/>
              <w:jc w:val="center"/>
              <w:rPr>
                <w:rFonts w:hint="eastAsia" w:ascii="宋体" w:hAnsi="宋体" w:eastAsia="宋体" w:cs="宋体"/>
                <w:color w:val="auto"/>
                <w:szCs w:val="21"/>
                <w:highlight w:val="none"/>
              </w:rPr>
            </w:pPr>
          </w:p>
        </w:tc>
      </w:tr>
      <w:tr w14:paraId="631A37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1F9D635F">
            <w:pPr>
              <w:pStyle w:val="10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31E4D88A">
            <w:pPr>
              <w:pStyle w:val="10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3C775590">
            <w:pPr>
              <w:pStyle w:val="10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3AB02E2F">
            <w:pPr>
              <w:pStyle w:val="10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2F8BDF87">
            <w:pPr>
              <w:pStyle w:val="107"/>
              <w:adjustRightInd w:val="0"/>
              <w:snapToGrid w:val="0"/>
              <w:ind w:left="-88" w:leftChars="-42"/>
              <w:jc w:val="center"/>
              <w:rPr>
                <w:rFonts w:hint="eastAsia" w:ascii="宋体" w:hAnsi="宋体" w:eastAsia="宋体" w:cs="宋体"/>
                <w:color w:val="auto"/>
                <w:szCs w:val="21"/>
                <w:highlight w:val="none"/>
              </w:rPr>
            </w:pPr>
          </w:p>
        </w:tc>
      </w:tr>
    </w:tbl>
    <w:p w14:paraId="581844C7">
      <w:pPr>
        <w:pStyle w:val="108"/>
        <w:adjustRightInd w:val="0"/>
        <w:snapToGrid w:val="0"/>
        <w:ind w:left="-88" w:leftChars="-42"/>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备注</w:t>
      </w:r>
      <w:r>
        <w:rPr>
          <w:rFonts w:hint="eastAsia" w:ascii="宋体" w:hAnsi="宋体" w:eastAsia="宋体" w:cs="宋体"/>
          <w:color w:val="auto"/>
          <w:szCs w:val="21"/>
          <w:highlight w:val="none"/>
        </w:rPr>
        <w:t>：1、“响应/偏离”栏应注明“响应”或“偏离”。</w:t>
      </w:r>
    </w:p>
    <w:p w14:paraId="72F4DB55">
      <w:pPr>
        <w:pStyle w:val="109"/>
        <w:adjustRightInd w:val="0"/>
        <w:snapToGrid w:val="0"/>
        <w:spacing w:before="50" w:line="360" w:lineRule="auto"/>
        <w:rPr>
          <w:rFonts w:hint="eastAsia" w:ascii="宋体" w:hAnsi="宋体" w:eastAsia="宋体" w:cs="宋体"/>
          <w:color w:val="auto"/>
          <w:szCs w:val="21"/>
          <w:highlight w:val="none"/>
        </w:rPr>
      </w:pPr>
    </w:p>
    <w:p w14:paraId="36D77A9C">
      <w:pPr>
        <w:pStyle w:val="110"/>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投标人名称（盖单位章）：</w:t>
      </w:r>
    </w:p>
    <w:p w14:paraId="737987E8">
      <w:pPr>
        <w:pStyle w:val="111"/>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_日</w:t>
      </w:r>
    </w:p>
    <w:p w14:paraId="6A8E8439">
      <w:pPr>
        <w:pStyle w:val="112"/>
        <w:outlineLvl w:val="1"/>
        <w:rPr>
          <w:rFonts w:hint="eastAsia" w:ascii="宋体" w:hAnsi="宋体" w:eastAsia="宋体" w:cs="宋体"/>
          <w:b/>
          <w:color w:val="auto"/>
          <w:sz w:val="32"/>
          <w:highlight w:val="none"/>
        </w:rPr>
      </w:pPr>
      <w:r>
        <w:rPr>
          <w:rFonts w:hint="eastAsia" w:ascii="宋体" w:hAnsi="宋体" w:eastAsia="宋体" w:cs="宋体"/>
          <w:color w:val="auto"/>
          <w:highlight w:val="none"/>
        </w:rPr>
        <w:br w:type="page"/>
      </w:r>
      <w:bookmarkStart w:id="214" w:name="_Toc129095629"/>
      <w:bookmarkStart w:id="215" w:name="_Toc129095523"/>
      <w:r>
        <w:rPr>
          <w:rFonts w:hint="eastAsia" w:ascii="宋体" w:hAnsi="宋体" w:eastAsia="宋体" w:cs="宋体"/>
          <w:b/>
          <w:color w:val="auto"/>
          <w:sz w:val="32"/>
          <w:highlight w:val="none"/>
        </w:rPr>
        <w:t>五、投标人认为需提供的其他资料</w:t>
      </w:r>
      <w:bookmarkEnd w:id="214"/>
      <w:bookmarkEnd w:id="215"/>
      <w:r>
        <w:rPr>
          <w:rFonts w:hint="eastAsia" w:ascii="宋体" w:hAnsi="宋体" w:eastAsia="宋体" w:cs="宋体"/>
          <w:b/>
          <w:color w:val="auto"/>
          <w:sz w:val="32"/>
          <w:highlight w:val="none"/>
        </w:rPr>
        <w:t>（如有）</w:t>
      </w:r>
    </w:p>
    <w:p w14:paraId="51E1B2F6">
      <w:pPr>
        <w:pStyle w:val="113"/>
        <w:rPr>
          <w:rFonts w:hint="eastAsia" w:ascii="宋体" w:hAnsi="宋体" w:eastAsia="宋体" w:cs="宋体"/>
          <w:color w:val="auto"/>
          <w:highlight w:val="none"/>
        </w:rPr>
      </w:pPr>
    </w:p>
    <w:p w14:paraId="6D656DD3">
      <w:pPr>
        <w:spacing w:line="460" w:lineRule="exact"/>
        <w:rPr>
          <w:rFonts w:hint="eastAsia" w:ascii="宋体" w:hAnsi="宋体" w:eastAsia="宋体" w:cs="宋体"/>
          <w:color w:val="auto"/>
          <w:sz w:val="24"/>
          <w:szCs w:val="24"/>
          <w:highlight w:val="none"/>
        </w:rPr>
      </w:pPr>
    </w:p>
    <w:p w14:paraId="55F1CC30">
      <w:pPr>
        <w:pStyle w:val="114"/>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16" w:name="_Toc129095630"/>
      <w:bookmarkStart w:id="217" w:name="_Toc129095524"/>
      <w:r>
        <w:rPr>
          <w:rFonts w:hint="eastAsia" w:ascii="宋体" w:hAnsi="宋体" w:eastAsia="宋体" w:cs="宋体"/>
          <w:b/>
          <w:color w:val="auto"/>
          <w:sz w:val="32"/>
          <w:highlight w:val="none"/>
          <w:lang w:eastAsia="zh-CN"/>
        </w:rPr>
        <w:t>六</w:t>
      </w:r>
      <w:r>
        <w:rPr>
          <w:rFonts w:hint="eastAsia" w:ascii="宋体" w:hAnsi="宋体" w:eastAsia="宋体" w:cs="宋体"/>
          <w:b/>
          <w:color w:val="auto"/>
          <w:sz w:val="32"/>
          <w:highlight w:val="none"/>
        </w:rPr>
        <w:t>、货物/服务说明一览表</w:t>
      </w:r>
      <w:bookmarkEnd w:id="216"/>
      <w:bookmarkEnd w:id="217"/>
    </w:p>
    <w:p w14:paraId="3F76FA90">
      <w:pPr>
        <w:pStyle w:val="115"/>
        <w:adjustRightInd w:val="0"/>
        <w:snapToGrid w:val="0"/>
        <w:rPr>
          <w:rFonts w:hint="eastAsia" w:ascii="宋体" w:hAnsi="宋体" w:eastAsia="宋体" w:cs="宋体"/>
          <w:color w:val="auto"/>
          <w:szCs w:val="21"/>
          <w:highlight w:val="none"/>
        </w:rPr>
      </w:pPr>
      <w:r>
        <w:rPr>
          <w:rFonts w:hint="eastAsia" w:ascii="宋体" w:hAnsi="宋体" w:eastAsia="宋体" w:cs="宋体"/>
          <w:color w:val="auto"/>
          <w:spacing w:val="28"/>
          <w:szCs w:val="21"/>
          <w:highlight w:val="none"/>
        </w:rPr>
        <w:t>招标编号</w:t>
      </w:r>
      <w:r>
        <w:rPr>
          <w:rFonts w:hint="eastAsia" w:ascii="宋体" w:hAnsi="宋体" w:eastAsia="宋体" w:cs="宋体"/>
          <w:color w:val="auto"/>
          <w:spacing w:val="28"/>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tbl>
      <w:tblPr>
        <w:tblStyle w:val="19"/>
        <w:tblW w:w="106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399"/>
        <w:gridCol w:w="2322"/>
        <w:gridCol w:w="5558"/>
        <w:gridCol w:w="1399"/>
      </w:tblGrid>
      <w:tr w14:paraId="5DBBF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9" w:hRule="atLeast"/>
          <w:jc w:val="center"/>
        </w:trPr>
        <w:tc>
          <w:tcPr>
            <w:tcW w:w="0" w:type="auto"/>
            <w:noWrap w:val="0"/>
            <w:vAlign w:val="top"/>
          </w:tcPr>
          <w:p w14:paraId="2AB07327">
            <w:pPr>
              <w:pStyle w:val="116"/>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序号</w:t>
            </w:r>
          </w:p>
        </w:tc>
        <w:tc>
          <w:tcPr>
            <w:tcW w:w="0" w:type="auto"/>
            <w:noWrap w:val="0"/>
            <w:vAlign w:val="top"/>
          </w:tcPr>
          <w:p w14:paraId="270F4592">
            <w:pPr>
              <w:pStyle w:val="116"/>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货物名称</w:t>
            </w:r>
          </w:p>
        </w:tc>
        <w:tc>
          <w:tcPr>
            <w:tcW w:w="0" w:type="auto"/>
            <w:noWrap w:val="0"/>
            <w:vAlign w:val="top"/>
          </w:tcPr>
          <w:p w14:paraId="71F2794C">
            <w:pPr>
              <w:pStyle w:val="116"/>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主要技术参数和技术指标</w:t>
            </w:r>
          </w:p>
        </w:tc>
        <w:tc>
          <w:tcPr>
            <w:tcW w:w="1399" w:type="dxa"/>
            <w:noWrap w:val="0"/>
            <w:vAlign w:val="top"/>
          </w:tcPr>
          <w:p w14:paraId="7F0A529F">
            <w:pPr>
              <w:pStyle w:val="116"/>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备注</w:t>
            </w:r>
          </w:p>
        </w:tc>
      </w:tr>
      <w:tr w14:paraId="50AF1E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0" w:type="auto"/>
            <w:noWrap w:val="0"/>
            <w:vAlign w:val="top"/>
          </w:tcPr>
          <w:p w14:paraId="71990E87">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27B73591">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09E12AD3">
            <w:pPr>
              <w:pStyle w:val="116"/>
              <w:adjustRightInd w:val="0"/>
              <w:snapToGrid w:val="0"/>
              <w:jc w:val="center"/>
              <w:rPr>
                <w:rFonts w:hint="eastAsia" w:ascii="宋体" w:hAnsi="宋体" w:eastAsia="宋体" w:cs="宋体"/>
                <w:b/>
                <w:color w:val="auto"/>
                <w:szCs w:val="21"/>
                <w:highlight w:val="none"/>
              </w:rPr>
            </w:pPr>
          </w:p>
        </w:tc>
        <w:tc>
          <w:tcPr>
            <w:tcW w:w="1399" w:type="dxa"/>
            <w:noWrap w:val="0"/>
            <w:vAlign w:val="top"/>
          </w:tcPr>
          <w:p w14:paraId="57F0B069">
            <w:pPr>
              <w:pStyle w:val="116"/>
              <w:adjustRightInd w:val="0"/>
              <w:snapToGrid w:val="0"/>
              <w:jc w:val="center"/>
              <w:rPr>
                <w:rFonts w:hint="eastAsia" w:ascii="宋体" w:hAnsi="宋体" w:eastAsia="宋体" w:cs="宋体"/>
                <w:b/>
                <w:color w:val="auto"/>
                <w:szCs w:val="21"/>
                <w:highlight w:val="none"/>
              </w:rPr>
            </w:pPr>
          </w:p>
        </w:tc>
      </w:tr>
      <w:tr w14:paraId="39EA4B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0" w:type="auto"/>
            <w:noWrap w:val="0"/>
            <w:vAlign w:val="top"/>
          </w:tcPr>
          <w:p w14:paraId="424F5453">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466C8178">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3165086E">
            <w:pPr>
              <w:pStyle w:val="116"/>
              <w:adjustRightInd w:val="0"/>
              <w:snapToGrid w:val="0"/>
              <w:jc w:val="center"/>
              <w:rPr>
                <w:rFonts w:hint="eastAsia" w:ascii="宋体" w:hAnsi="宋体" w:eastAsia="宋体" w:cs="宋体"/>
                <w:b/>
                <w:color w:val="auto"/>
                <w:szCs w:val="21"/>
                <w:highlight w:val="none"/>
              </w:rPr>
            </w:pPr>
          </w:p>
        </w:tc>
        <w:tc>
          <w:tcPr>
            <w:tcW w:w="1399" w:type="dxa"/>
            <w:noWrap w:val="0"/>
            <w:vAlign w:val="top"/>
          </w:tcPr>
          <w:p w14:paraId="704BF229">
            <w:pPr>
              <w:pStyle w:val="116"/>
              <w:adjustRightInd w:val="0"/>
              <w:snapToGrid w:val="0"/>
              <w:jc w:val="center"/>
              <w:rPr>
                <w:rFonts w:hint="eastAsia" w:ascii="宋体" w:hAnsi="宋体" w:eastAsia="宋体" w:cs="宋体"/>
                <w:b/>
                <w:color w:val="auto"/>
                <w:szCs w:val="21"/>
                <w:highlight w:val="none"/>
              </w:rPr>
            </w:pPr>
          </w:p>
        </w:tc>
      </w:tr>
      <w:tr w14:paraId="46C578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0" w:type="auto"/>
            <w:noWrap w:val="0"/>
            <w:vAlign w:val="top"/>
          </w:tcPr>
          <w:p w14:paraId="332F7581">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3E177B6C">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0F36764E">
            <w:pPr>
              <w:pStyle w:val="116"/>
              <w:adjustRightInd w:val="0"/>
              <w:snapToGrid w:val="0"/>
              <w:jc w:val="center"/>
              <w:rPr>
                <w:rFonts w:hint="eastAsia" w:ascii="宋体" w:hAnsi="宋体" w:eastAsia="宋体" w:cs="宋体"/>
                <w:b/>
                <w:color w:val="auto"/>
                <w:szCs w:val="21"/>
                <w:highlight w:val="none"/>
              </w:rPr>
            </w:pPr>
          </w:p>
        </w:tc>
        <w:tc>
          <w:tcPr>
            <w:tcW w:w="1399" w:type="dxa"/>
            <w:noWrap w:val="0"/>
            <w:vAlign w:val="top"/>
          </w:tcPr>
          <w:p w14:paraId="189FC572">
            <w:pPr>
              <w:pStyle w:val="116"/>
              <w:adjustRightInd w:val="0"/>
              <w:snapToGrid w:val="0"/>
              <w:jc w:val="center"/>
              <w:rPr>
                <w:rFonts w:hint="eastAsia" w:ascii="宋体" w:hAnsi="宋体" w:eastAsia="宋体" w:cs="宋体"/>
                <w:b/>
                <w:color w:val="auto"/>
                <w:szCs w:val="21"/>
                <w:highlight w:val="none"/>
              </w:rPr>
            </w:pPr>
          </w:p>
        </w:tc>
      </w:tr>
      <w:tr w14:paraId="4E8B97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0" w:type="auto"/>
            <w:noWrap w:val="0"/>
            <w:vAlign w:val="top"/>
          </w:tcPr>
          <w:p w14:paraId="209F9933">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124EABDF">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78B1CC4B">
            <w:pPr>
              <w:pStyle w:val="116"/>
              <w:adjustRightInd w:val="0"/>
              <w:snapToGrid w:val="0"/>
              <w:jc w:val="center"/>
              <w:rPr>
                <w:rFonts w:hint="eastAsia" w:ascii="宋体" w:hAnsi="宋体" w:eastAsia="宋体" w:cs="宋体"/>
                <w:b/>
                <w:color w:val="auto"/>
                <w:szCs w:val="21"/>
                <w:highlight w:val="none"/>
              </w:rPr>
            </w:pPr>
          </w:p>
        </w:tc>
        <w:tc>
          <w:tcPr>
            <w:tcW w:w="1399" w:type="dxa"/>
            <w:noWrap w:val="0"/>
            <w:vAlign w:val="top"/>
          </w:tcPr>
          <w:p w14:paraId="1C41B146">
            <w:pPr>
              <w:pStyle w:val="116"/>
              <w:adjustRightInd w:val="0"/>
              <w:snapToGrid w:val="0"/>
              <w:jc w:val="center"/>
              <w:rPr>
                <w:rFonts w:hint="eastAsia" w:ascii="宋体" w:hAnsi="宋体" w:eastAsia="宋体" w:cs="宋体"/>
                <w:b/>
                <w:color w:val="auto"/>
                <w:szCs w:val="21"/>
                <w:highlight w:val="none"/>
              </w:rPr>
            </w:pPr>
          </w:p>
        </w:tc>
      </w:tr>
      <w:tr w14:paraId="6658AD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0" w:type="auto"/>
            <w:noWrap w:val="0"/>
            <w:vAlign w:val="top"/>
          </w:tcPr>
          <w:p w14:paraId="4F83409B">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0575D664">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4A53B248">
            <w:pPr>
              <w:pStyle w:val="116"/>
              <w:adjustRightInd w:val="0"/>
              <w:snapToGrid w:val="0"/>
              <w:jc w:val="center"/>
              <w:rPr>
                <w:rFonts w:hint="eastAsia" w:ascii="宋体" w:hAnsi="宋体" w:eastAsia="宋体" w:cs="宋体"/>
                <w:b/>
                <w:color w:val="auto"/>
                <w:szCs w:val="21"/>
                <w:highlight w:val="none"/>
              </w:rPr>
            </w:pPr>
          </w:p>
        </w:tc>
        <w:tc>
          <w:tcPr>
            <w:tcW w:w="1399" w:type="dxa"/>
            <w:noWrap w:val="0"/>
            <w:vAlign w:val="top"/>
          </w:tcPr>
          <w:p w14:paraId="19E7656F">
            <w:pPr>
              <w:pStyle w:val="116"/>
              <w:adjustRightInd w:val="0"/>
              <w:snapToGrid w:val="0"/>
              <w:jc w:val="center"/>
              <w:rPr>
                <w:rFonts w:hint="eastAsia" w:ascii="宋体" w:hAnsi="宋体" w:eastAsia="宋体" w:cs="宋体"/>
                <w:b/>
                <w:color w:val="auto"/>
                <w:szCs w:val="21"/>
                <w:highlight w:val="none"/>
              </w:rPr>
            </w:pPr>
          </w:p>
        </w:tc>
      </w:tr>
      <w:tr w14:paraId="7C80A3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0" w:type="auto"/>
            <w:noWrap w:val="0"/>
            <w:vAlign w:val="top"/>
          </w:tcPr>
          <w:p w14:paraId="7D774012">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36FA643A">
            <w:pPr>
              <w:pStyle w:val="116"/>
              <w:adjustRightInd w:val="0"/>
              <w:snapToGrid w:val="0"/>
              <w:jc w:val="center"/>
              <w:rPr>
                <w:rFonts w:hint="eastAsia" w:ascii="宋体" w:hAnsi="宋体" w:eastAsia="宋体" w:cs="宋体"/>
                <w:b/>
                <w:color w:val="auto"/>
                <w:szCs w:val="21"/>
                <w:highlight w:val="none"/>
              </w:rPr>
            </w:pPr>
          </w:p>
        </w:tc>
        <w:tc>
          <w:tcPr>
            <w:tcW w:w="0" w:type="auto"/>
            <w:noWrap w:val="0"/>
            <w:vAlign w:val="top"/>
          </w:tcPr>
          <w:p w14:paraId="0DE9EDCF">
            <w:pPr>
              <w:pStyle w:val="116"/>
              <w:adjustRightInd w:val="0"/>
              <w:snapToGrid w:val="0"/>
              <w:jc w:val="center"/>
              <w:rPr>
                <w:rFonts w:hint="eastAsia" w:ascii="宋体" w:hAnsi="宋体" w:eastAsia="宋体" w:cs="宋体"/>
                <w:b/>
                <w:color w:val="auto"/>
                <w:szCs w:val="21"/>
                <w:highlight w:val="none"/>
              </w:rPr>
            </w:pPr>
          </w:p>
        </w:tc>
        <w:tc>
          <w:tcPr>
            <w:tcW w:w="1399" w:type="dxa"/>
            <w:noWrap w:val="0"/>
            <w:vAlign w:val="top"/>
          </w:tcPr>
          <w:p w14:paraId="114238D8">
            <w:pPr>
              <w:pStyle w:val="116"/>
              <w:adjustRightInd w:val="0"/>
              <w:snapToGrid w:val="0"/>
              <w:jc w:val="center"/>
              <w:rPr>
                <w:rFonts w:hint="eastAsia" w:ascii="宋体" w:hAnsi="宋体" w:eastAsia="宋体" w:cs="宋体"/>
                <w:b/>
                <w:color w:val="auto"/>
                <w:szCs w:val="21"/>
                <w:highlight w:val="none"/>
              </w:rPr>
            </w:pPr>
          </w:p>
        </w:tc>
      </w:tr>
      <w:tr w14:paraId="2E728B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1399" w:type="dxa"/>
            <w:noWrap w:val="0"/>
            <w:vAlign w:val="top"/>
          </w:tcPr>
          <w:p w14:paraId="48446B57">
            <w:pPr>
              <w:pStyle w:val="116"/>
              <w:adjustRightInd w:val="0"/>
              <w:snapToGrid w:val="0"/>
              <w:jc w:val="center"/>
              <w:rPr>
                <w:rFonts w:hint="eastAsia" w:ascii="宋体" w:hAnsi="宋体" w:eastAsia="宋体" w:cs="宋体"/>
                <w:b/>
                <w:color w:val="auto"/>
                <w:szCs w:val="21"/>
                <w:highlight w:val="none"/>
              </w:rPr>
            </w:pPr>
          </w:p>
        </w:tc>
        <w:tc>
          <w:tcPr>
            <w:tcW w:w="2322" w:type="dxa"/>
            <w:noWrap w:val="0"/>
            <w:vAlign w:val="top"/>
          </w:tcPr>
          <w:p w14:paraId="14DEDFF3">
            <w:pPr>
              <w:pStyle w:val="116"/>
              <w:adjustRightInd w:val="0"/>
              <w:snapToGrid w:val="0"/>
              <w:jc w:val="center"/>
              <w:rPr>
                <w:rFonts w:hint="eastAsia" w:ascii="宋体" w:hAnsi="宋体" w:eastAsia="宋体" w:cs="宋体"/>
                <w:b/>
                <w:color w:val="auto"/>
                <w:szCs w:val="21"/>
                <w:highlight w:val="none"/>
              </w:rPr>
            </w:pPr>
          </w:p>
        </w:tc>
        <w:tc>
          <w:tcPr>
            <w:tcW w:w="5558" w:type="dxa"/>
            <w:noWrap w:val="0"/>
            <w:vAlign w:val="top"/>
          </w:tcPr>
          <w:p w14:paraId="392E231D">
            <w:pPr>
              <w:pStyle w:val="116"/>
              <w:adjustRightInd w:val="0"/>
              <w:snapToGrid w:val="0"/>
              <w:jc w:val="center"/>
              <w:rPr>
                <w:rFonts w:hint="eastAsia" w:ascii="宋体" w:hAnsi="宋体" w:eastAsia="宋体" w:cs="宋体"/>
                <w:b/>
                <w:color w:val="auto"/>
                <w:szCs w:val="21"/>
                <w:highlight w:val="none"/>
              </w:rPr>
            </w:pPr>
          </w:p>
        </w:tc>
        <w:tc>
          <w:tcPr>
            <w:tcW w:w="1399" w:type="dxa"/>
            <w:noWrap w:val="0"/>
            <w:vAlign w:val="top"/>
          </w:tcPr>
          <w:p w14:paraId="19AB5E6C">
            <w:pPr>
              <w:pStyle w:val="116"/>
              <w:adjustRightInd w:val="0"/>
              <w:snapToGrid w:val="0"/>
              <w:jc w:val="center"/>
              <w:rPr>
                <w:rFonts w:hint="eastAsia" w:ascii="宋体" w:hAnsi="宋体" w:eastAsia="宋体" w:cs="宋体"/>
                <w:b/>
                <w:color w:val="auto"/>
                <w:szCs w:val="21"/>
                <w:highlight w:val="none"/>
              </w:rPr>
            </w:pPr>
          </w:p>
        </w:tc>
      </w:tr>
    </w:tbl>
    <w:p w14:paraId="2F14FC33">
      <w:pPr>
        <w:pStyle w:val="117"/>
        <w:adjustRightInd w:val="0"/>
        <w:snapToGrid w:val="0"/>
        <w:ind w:left="-88" w:leftChars="-42"/>
        <w:rPr>
          <w:rFonts w:hint="eastAsia" w:ascii="宋体" w:hAnsi="宋体" w:eastAsia="宋体" w:cs="宋体"/>
          <w:bCs/>
          <w:color w:val="auto"/>
          <w:sz w:val="21"/>
          <w:szCs w:val="21"/>
          <w:highlight w:val="none"/>
        </w:rPr>
      </w:pPr>
    </w:p>
    <w:p w14:paraId="193D5C35">
      <w:pPr>
        <w:pStyle w:val="119"/>
        <w:adjustRightInd w:val="0"/>
        <w:snapToGrid w:val="0"/>
        <w:ind w:left="-88" w:leftChars="-42"/>
        <w:rPr>
          <w:rFonts w:hint="eastAsia" w:ascii="宋体" w:hAnsi="宋体" w:eastAsia="宋体" w:cs="宋体"/>
          <w:bCs/>
          <w:color w:val="auto"/>
          <w:sz w:val="21"/>
          <w:szCs w:val="21"/>
          <w:highlight w:val="none"/>
        </w:rPr>
      </w:pPr>
    </w:p>
    <w:p w14:paraId="02237EEC">
      <w:pPr>
        <w:pStyle w:val="121"/>
        <w:adjustRightInd w:val="0"/>
        <w:snapToGrid w:val="0"/>
        <w:spacing w:line="360" w:lineRule="auto"/>
        <w:ind w:left="-88" w:leftChars="-42"/>
        <w:rPr>
          <w:rFonts w:hint="eastAsia" w:ascii="宋体" w:hAnsi="宋体" w:eastAsia="宋体" w:cs="宋体"/>
          <w:color w:val="auto"/>
          <w:szCs w:val="21"/>
          <w:highlight w:val="none"/>
        </w:rPr>
      </w:pPr>
    </w:p>
    <w:p w14:paraId="118A100D">
      <w:pPr>
        <w:pStyle w:val="122"/>
        <w:adjustRightInd w:val="0"/>
        <w:snapToGrid w:val="0"/>
        <w:spacing w:line="360" w:lineRule="auto"/>
        <w:ind w:left="-88" w:leftChars="-42"/>
        <w:rPr>
          <w:rFonts w:hint="eastAsia" w:ascii="宋体" w:hAnsi="宋体" w:eastAsia="宋体" w:cs="宋体"/>
          <w:color w:val="auto"/>
          <w:szCs w:val="21"/>
          <w:highlight w:val="none"/>
        </w:rPr>
      </w:pPr>
    </w:p>
    <w:p w14:paraId="28A105D6">
      <w:pPr>
        <w:pStyle w:val="123"/>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投标人名称（盖单位章）：</w:t>
      </w:r>
    </w:p>
    <w:p w14:paraId="513158D6">
      <w:pPr>
        <w:pStyle w:val="124"/>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r>
        <w:rPr>
          <w:rFonts w:hint="eastAsia" w:ascii="宋体" w:hAnsi="宋体" w:eastAsia="宋体" w:cs="宋体"/>
          <w:color w:val="auto"/>
          <w:sz w:val="28"/>
          <w:szCs w:val="28"/>
          <w:highlight w:val="none"/>
        </w:rPr>
        <w:tab/>
      </w:r>
    </w:p>
    <w:p w14:paraId="0661BF2D">
      <w:pPr>
        <w:pStyle w:val="125"/>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18" w:name="_Toc129095525"/>
      <w:bookmarkStart w:id="219" w:name="_Toc129095631"/>
      <w:r>
        <w:rPr>
          <w:rFonts w:hint="eastAsia" w:ascii="宋体" w:hAnsi="宋体" w:eastAsia="宋体" w:cs="宋体"/>
          <w:b/>
          <w:color w:val="auto"/>
          <w:sz w:val="32"/>
          <w:highlight w:val="none"/>
          <w:lang w:eastAsia="zh-CN"/>
        </w:rPr>
        <w:t>七</w:t>
      </w:r>
      <w:r>
        <w:rPr>
          <w:rFonts w:hint="eastAsia" w:ascii="宋体" w:hAnsi="宋体" w:eastAsia="宋体" w:cs="宋体"/>
          <w:b/>
          <w:color w:val="auto"/>
          <w:sz w:val="32"/>
          <w:highlight w:val="none"/>
        </w:rPr>
        <w:t>、技术响应/偏离表</w:t>
      </w:r>
      <w:bookmarkEnd w:id="218"/>
      <w:bookmarkEnd w:id="219"/>
    </w:p>
    <w:p w14:paraId="15EA042C">
      <w:pPr>
        <w:pStyle w:val="126"/>
        <w:adjustRightInd w:val="0"/>
        <w:snapToGrid w:val="0"/>
        <w:rPr>
          <w:rFonts w:hint="eastAsia" w:ascii="宋体" w:hAnsi="宋体" w:eastAsia="宋体" w:cs="宋体"/>
          <w:color w:val="auto"/>
          <w:szCs w:val="21"/>
          <w:highlight w:val="none"/>
          <w:u w:val="single"/>
        </w:rPr>
      </w:pPr>
      <w:r>
        <w:rPr>
          <w:rFonts w:hint="eastAsia" w:ascii="宋体" w:hAnsi="宋体" w:eastAsia="宋体" w:cs="宋体"/>
          <w:color w:val="auto"/>
          <w:spacing w:val="28"/>
          <w:szCs w:val="21"/>
          <w:highlight w:val="none"/>
        </w:rPr>
        <w:t>招标编号</w:t>
      </w:r>
      <w:r>
        <w:rPr>
          <w:rFonts w:hint="eastAsia" w:ascii="宋体" w:hAnsi="宋体" w:eastAsia="宋体" w:cs="宋体"/>
          <w:color w:val="auto"/>
          <w:spacing w:val="28"/>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tbl>
      <w:tblPr>
        <w:tblStyle w:val="1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171"/>
        <w:gridCol w:w="3094"/>
        <w:gridCol w:w="3272"/>
        <w:gridCol w:w="1715"/>
        <w:gridCol w:w="1270"/>
      </w:tblGrid>
      <w:tr w14:paraId="2F67EC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171" w:type="dxa"/>
            <w:noWrap w:val="0"/>
            <w:vAlign w:val="center"/>
          </w:tcPr>
          <w:p w14:paraId="106988B0">
            <w:pPr>
              <w:pStyle w:val="12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序</w:t>
            </w:r>
            <w:r>
              <w:rPr>
                <w:rFonts w:hint="eastAsia" w:ascii="宋体" w:hAnsi="宋体" w:eastAsia="宋体" w:cs="宋体"/>
                <w:color w:val="auto"/>
                <w:szCs w:val="21"/>
                <w:highlight w:val="none"/>
              </w:rPr>
              <w:t>号</w:t>
            </w:r>
          </w:p>
        </w:tc>
        <w:tc>
          <w:tcPr>
            <w:tcW w:w="3094" w:type="dxa"/>
            <w:noWrap w:val="0"/>
            <w:vAlign w:val="center"/>
          </w:tcPr>
          <w:p w14:paraId="221F9BDB">
            <w:pPr>
              <w:pStyle w:val="12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招标文件章节</w:t>
            </w:r>
            <w:r>
              <w:rPr>
                <w:rFonts w:hint="eastAsia" w:ascii="宋体" w:hAnsi="宋体" w:eastAsia="宋体" w:cs="宋体"/>
                <w:bCs/>
                <w:color w:val="auto"/>
                <w:szCs w:val="21"/>
                <w:highlight w:val="none"/>
              </w:rPr>
              <w:t>和条</w:t>
            </w:r>
            <w:r>
              <w:rPr>
                <w:rFonts w:hint="eastAsia" w:ascii="宋体" w:hAnsi="宋体" w:eastAsia="宋体" w:cs="宋体"/>
                <w:color w:val="auto"/>
                <w:szCs w:val="21"/>
                <w:highlight w:val="none"/>
              </w:rPr>
              <w:t>款号</w:t>
            </w:r>
          </w:p>
        </w:tc>
        <w:tc>
          <w:tcPr>
            <w:tcW w:w="3272" w:type="dxa"/>
            <w:noWrap w:val="0"/>
            <w:vAlign w:val="center"/>
          </w:tcPr>
          <w:p w14:paraId="105F0855">
            <w:pPr>
              <w:pStyle w:val="12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投标文件章节</w:t>
            </w:r>
            <w:r>
              <w:rPr>
                <w:rFonts w:hint="eastAsia" w:ascii="宋体" w:hAnsi="宋体" w:eastAsia="宋体" w:cs="宋体"/>
                <w:bCs/>
                <w:color w:val="auto"/>
                <w:szCs w:val="21"/>
                <w:highlight w:val="none"/>
              </w:rPr>
              <w:t>和条</w:t>
            </w:r>
            <w:r>
              <w:rPr>
                <w:rFonts w:hint="eastAsia" w:ascii="宋体" w:hAnsi="宋体" w:eastAsia="宋体" w:cs="宋体"/>
                <w:color w:val="auto"/>
                <w:szCs w:val="21"/>
                <w:highlight w:val="none"/>
              </w:rPr>
              <w:t>款号</w:t>
            </w:r>
          </w:p>
        </w:tc>
        <w:tc>
          <w:tcPr>
            <w:tcW w:w="1715" w:type="dxa"/>
            <w:noWrap w:val="0"/>
            <w:vAlign w:val="center"/>
          </w:tcPr>
          <w:p w14:paraId="7354F25E">
            <w:pPr>
              <w:pStyle w:val="12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响应/偏离</w:t>
            </w:r>
          </w:p>
        </w:tc>
        <w:tc>
          <w:tcPr>
            <w:tcW w:w="1270" w:type="dxa"/>
            <w:noWrap w:val="0"/>
            <w:vAlign w:val="center"/>
          </w:tcPr>
          <w:p w14:paraId="56AC97AE">
            <w:pPr>
              <w:pStyle w:val="127"/>
              <w:adjustRightInd w:val="0"/>
              <w:snapToGrid w:val="0"/>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157038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007AE369">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7AE8AFDA">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7B060BBB">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1162E028">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1C830BE5">
            <w:pPr>
              <w:pStyle w:val="127"/>
              <w:adjustRightInd w:val="0"/>
              <w:snapToGrid w:val="0"/>
              <w:ind w:left="-88" w:leftChars="-42"/>
              <w:jc w:val="center"/>
              <w:rPr>
                <w:rFonts w:hint="eastAsia" w:ascii="宋体" w:hAnsi="宋体" w:eastAsia="宋体" w:cs="宋体"/>
                <w:color w:val="auto"/>
                <w:szCs w:val="21"/>
                <w:highlight w:val="none"/>
              </w:rPr>
            </w:pPr>
          </w:p>
        </w:tc>
      </w:tr>
      <w:tr w14:paraId="4CB355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186E3CAE">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193440B7">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61BD79AD">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2DD91BAD">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4954A60C">
            <w:pPr>
              <w:pStyle w:val="127"/>
              <w:adjustRightInd w:val="0"/>
              <w:snapToGrid w:val="0"/>
              <w:ind w:left="-88" w:leftChars="-42"/>
              <w:jc w:val="center"/>
              <w:rPr>
                <w:rFonts w:hint="eastAsia" w:ascii="宋体" w:hAnsi="宋体" w:eastAsia="宋体" w:cs="宋体"/>
                <w:color w:val="auto"/>
                <w:szCs w:val="21"/>
                <w:highlight w:val="none"/>
              </w:rPr>
            </w:pPr>
          </w:p>
        </w:tc>
      </w:tr>
      <w:tr w14:paraId="76F028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4B902CCC">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2D96CFB2">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21CD3ADA">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66F188B1">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48E860DB">
            <w:pPr>
              <w:pStyle w:val="127"/>
              <w:adjustRightInd w:val="0"/>
              <w:snapToGrid w:val="0"/>
              <w:ind w:left="-88" w:leftChars="-42"/>
              <w:jc w:val="center"/>
              <w:rPr>
                <w:rFonts w:hint="eastAsia" w:ascii="宋体" w:hAnsi="宋体" w:eastAsia="宋体" w:cs="宋体"/>
                <w:color w:val="auto"/>
                <w:szCs w:val="21"/>
                <w:highlight w:val="none"/>
              </w:rPr>
            </w:pPr>
          </w:p>
        </w:tc>
      </w:tr>
      <w:tr w14:paraId="06BD0B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40FE6332">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4656C1E7">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0D1F1470">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37576903">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45ED5F71">
            <w:pPr>
              <w:pStyle w:val="127"/>
              <w:adjustRightInd w:val="0"/>
              <w:snapToGrid w:val="0"/>
              <w:ind w:left="-88" w:leftChars="-42"/>
              <w:jc w:val="center"/>
              <w:rPr>
                <w:rFonts w:hint="eastAsia" w:ascii="宋体" w:hAnsi="宋体" w:eastAsia="宋体" w:cs="宋体"/>
                <w:color w:val="auto"/>
                <w:szCs w:val="21"/>
                <w:highlight w:val="none"/>
              </w:rPr>
            </w:pPr>
          </w:p>
        </w:tc>
      </w:tr>
      <w:tr w14:paraId="10F43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2C437015">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614D5D16">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754F36A6">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4C5163F4">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2EE833D2">
            <w:pPr>
              <w:pStyle w:val="127"/>
              <w:adjustRightInd w:val="0"/>
              <w:snapToGrid w:val="0"/>
              <w:ind w:left="-88" w:leftChars="-42"/>
              <w:jc w:val="center"/>
              <w:rPr>
                <w:rFonts w:hint="eastAsia" w:ascii="宋体" w:hAnsi="宋体" w:eastAsia="宋体" w:cs="宋体"/>
                <w:color w:val="auto"/>
                <w:szCs w:val="21"/>
                <w:highlight w:val="none"/>
              </w:rPr>
            </w:pPr>
          </w:p>
        </w:tc>
      </w:tr>
      <w:tr w14:paraId="57D677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7532B2ED">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586F8326">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36C65CE1">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171E0AB9">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7462BA3B">
            <w:pPr>
              <w:pStyle w:val="127"/>
              <w:adjustRightInd w:val="0"/>
              <w:snapToGrid w:val="0"/>
              <w:ind w:left="-88" w:leftChars="-42"/>
              <w:jc w:val="center"/>
              <w:rPr>
                <w:rFonts w:hint="eastAsia" w:ascii="宋体" w:hAnsi="宋体" w:eastAsia="宋体" w:cs="宋体"/>
                <w:color w:val="auto"/>
                <w:szCs w:val="21"/>
                <w:highlight w:val="none"/>
              </w:rPr>
            </w:pPr>
          </w:p>
        </w:tc>
      </w:tr>
      <w:tr w14:paraId="79991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02720517">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08097E41">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081877E4">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6F806870">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55D8E74A">
            <w:pPr>
              <w:pStyle w:val="127"/>
              <w:adjustRightInd w:val="0"/>
              <w:snapToGrid w:val="0"/>
              <w:ind w:left="-88" w:leftChars="-42"/>
              <w:jc w:val="center"/>
              <w:rPr>
                <w:rFonts w:hint="eastAsia" w:ascii="宋体" w:hAnsi="宋体" w:eastAsia="宋体" w:cs="宋体"/>
                <w:color w:val="auto"/>
                <w:szCs w:val="21"/>
                <w:highlight w:val="none"/>
              </w:rPr>
            </w:pPr>
          </w:p>
        </w:tc>
      </w:tr>
      <w:tr w14:paraId="41AFB8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71" w:type="dxa"/>
            <w:noWrap w:val="0"/>
            <w:vAlign w:val="center"/>
          </w:tcPr>
          <w:p w14:paraId="060BC66A">
            <w:pPr>
              <w:pStyle w:val="127"/>
              <w:adjustRightInd w:val="0"/>
              <w:snapToGrid w:val="0"/>
              <w:ind w:left="-88" w:leftChars="-42"/>
              <w:jc w:val="center"/>
              <w:rPr>
                <w:rFonts w:hint="eastAsia" w:ascii="宋体" w:hAnsi="宋体" w:eastAsia="宋体" w:cs="宋体"/>
                <w:color w:val="auto"/>
                <w:szCs w:val="21"/>
                <w:highlight w:val="none"/>
              </w:rPr>
            </w:pPr>
          </w:p>
        </w:tc>
        <w:tc>
          <w:tcPr>
            <w:tcW w:w="3094" w:type="dxa"/>
            <w:noWrap w:val="0"/>
            <w:vAlign w:val="center"/>
          </w:tcPr>
          <w:p w14:paraId="342B6F43">
            <w:pPr>
              <w:pStyle w:val="127"/>
              <w:adjustRightInd w:val="0"/>
              <w:snapToGrid w:val="0"/>
              <w:ind w:left="-88" w:leftChars="-42"/>
              <w:jc w:val="center"/>
              <w:rPr>
                <w:rFonts w:hint="eastAsia" w:ascii="宋体" w:hAnsi="宋体" w:eastAsia="宋体" w:cs="宋体"/>
                <w:color w:val="auto"/>
                <w:szCs w:val="21"/>
                <w:highlight w:val="none"/>
              </w:rPr>
            </w:pPr>
          </w:p>
        </w:tc>
        <w:tc>
          <w:tcPr>
            <w:tcW w:w="3272" w:type="dxa"/>
            <w:noWrap w:val="0"/>
            <w:vAlign w:val="center"/>
          </w:tcPr>
          <w:p w14:paraId="1B1B1E29">
            <w:pPr>
              <w:pStyle w:val="127"/>
              <w:adjustRightInd w:val="0"/>
              <w:snapToGrid w:val="0"/>
              <w:ind w:left="-88" w:leftChars="-42"/>
              <w:jc w:val="center"/>
              <w:rPr>
                <w:rFonts w:hint="eastAsia" w:ascii="宋体" w:hAnsi="宋体" w:eastAsia="宋体" w:cs="宋体"/>
                <w:color w:val="auto"/>
                <w:szCs w:val="21"/>
                <w:highlight w:val="none"/>
              </w:rPr>
            </w:pPr>
          </w:p>
        </w:tc>
        <w:tc>
          <w:tcPr>
            <w:tcW w:w="1715" w:type="dxa"/>
            <w:noWrap w:val="0"/>
            <w:vAlign w:val="center"/>
          </w:tcPr>
          <w:p w14:paraId="08FB4264">
            <w:pPr>
              <w:pStyle w:val="127"/>
              <w:adjustRightInd w:val="0"/>
              <w:snapToGrid w:val="0"/>
              <w:ind w:left="-88" w:leftChars="-42"/>
              <w:jc w:val="center"/>
              <w:rPr>
                <w:rFonts w:hint="eastAsia" w:ascii="宋体" w:hAnsi="宋体" w:eastAsia="宋体" w:cs="宋体"/>
                <w:color w:val="auto"/>
                <w:szCs w:val="21"/>
                <w:highlight w:val="none"/>
              </w:rPr>
            </w:pPr>
          </w:p>
        </w:tc>
        <w:tc>
          <w:tcPr>
            <w:tcW w:w="1270" w:type="dxa"/>
            <w:noWrap w:val="0"/>
            <w:vAlign w:val="center"/>
          </w:tcPr>
          <w:p w14:paraId="68C1BF48">
            <w:pPr>
              <w:pStyle w:val="127"/>
              <w:adjustRightInd w:val="0"/>
              <w:snapToGrid w:val="0"/>
              <w:ind w:left="-88" w:leftChars="-42"/>
              <w:jc w:val="center"/>
              <w:rPr>
                <w:rFonts w:hint="eastAsia" w:ascii="宋体" w:hAnsi="宋体" w:eastAsia="宋体" w:cs="宋体"/>
                <w:color w:val="auto"/>
                <w:szCs w:val="21"/>
                <w:highlight w:val="none"/>
              </w:rPr>
            </w:pPr>
          </w:p>
        </w:tc>
      </w:tr>
    </w:tbl>
    <w:p w14:paraId="6045B22D">
      <w:pPr>
        <w:pStyle w:val="128"/>
        <w:adjustRightInd w:val="0"/>
        <w:snapToGrid w:val="0"/>
        <w:spacing w:before="50" w:line="360" w:lineRule="auto"/>
        <w:rPr>
          <w:rFonts w:hint="eastAsia" w:ascii="宋体" w:hAnsi="宋体" w:eastAsia="宋体" w:cs="宋体"/>
          <w:color w:val="auto"/>
          <w:szCs w:val="21"/>
          <w:highlight w:val="none"/>
        </w:rPr>
      </w:pPr>
    </w:p>
    <w:p w14:paraId="0AD05017">
      <w:pPr>
        <w:pStyle w:val="129"/>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投标人名称（盖单位章）：</w:t>
      </w:r>
    </w:p>
    <w:p w14:paraId="4B23C396">
      <w:pPr>
        <w:pStyle w:val="13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_日</w:t>
      </w:r>
    </w:p>
    <w:p w14:paraId="6359BB10">
      <w:pPr>
        <w:pStyle w:val="131"/>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20" w:name="_Toc129095526"/>
      <w:bookmarkStart w:id="221" w:name="_Toc129095632"/>
      <w:r>
        <w:rPr>
          <w:rFonts w:hint="eastAsia" w:ascii="宋体" w:hAnsi="宋体" w:eastAsia="宋体" w:cs="宋体"/>
          <w:b/>
          <w:color w:val="auto"/>
          <w:sz w:val="32"/>
          <w:highlight w:val="none"/>
          <w:lang w:eastAsia="zh-CN"/>
        </w:rPr>
        <w:t>八</w:t>
      </w:r>
      <w:r>
        <w:rPr>
          <w:rFonts w:hint="eastAsia" w:ascii="宋体" w:hAnsi="宋体" w:eastAsia="宋体" w:cs="宋体"/>
          <w:b/>
          <w:color w:val="auto"/>
          <w:sz w:val="32"/>
          <w:highlight w:val="none"/>
        </w:rPr>
        <w:t>、投标货物/服务符合招标文件规定的证明文件</w:t>
      </w:r>
      <w:bookmarkEnd w:id="220"/>
      <w:bookmarkEnd w:id="221"/>
      <w:r>
        <w:rPr>
          <w:rFonts w:hint="eastAsia" w:ascii="宋体" w:hAnsi="宋体" w:eastAsia="宋体" w:cs="宋体"/>
          <w:b/>
          <w:color w:val="auto"/>
          <w:sz w:val="32"/>
          <w:highlight w:val="none"/>
        </w:rPr>
        <w:t>（如有）</w:t>
      </w:r>
    </w:p>
    <w:p w14:paraId="02E44F4F">
      <w:pPr>
        <w:pStyle w:val="132"/>
        <w:rPr>
          <w:rFonts w:hint="eastAsia" w:ascii="宋体" w:hAnsi="宋体" w:eastAsia="宋体" w:cs="宋体"/>
          <w:color w:val="auto"/>
          <w:szCs w:val="21"/>
          <w:highlight w:val="none"/>
        </w:rPr>
      </w:pPr>
    </w:p>
    <w:p w14:paraId="571DBA35">
      <w:pPr>
        <w:pStyle w:val="132"/>
        <w:rPr>
          <w:rFonts w:hint="eastAsia" w:ascii="宋体" w:hAnsi="宋体" w:eastAsia="宋体" w:cs="宋体"/>
          <w:color w:val="auto"/>
          <w:szCs w:val="21"/>
          <w:highlight w:val="none"/>
        </w:rPr>
      </w:pPr>
    </w:p>
    <w:p w14:paraId="7387F288">
      <w:pPr>
        <w:pStyle w:val="132"/>
        <w:rPr>
          <w:rFonts w:hint="eastAsia" w:ascii="宋体" w:hAnsi="宋体" w:eastAsia="宋体" w:cs="宋体"/>
          <w:color w:val="auto"/>
          <w:szCs w:val="21"/>
          <w:highlight w:val="none"/>
        </w:rPr>
      </w:pPr>
    </w:p>
    <w:p w14:paraId="37925196">
      <w:pPr>
        <w:pStyle w:val="132"/>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0B6012AF">
      <w:pPr>
        <w:pStyle w:val="131"/>
        <w:outlineLvl w:val="1"/>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九、投标人认为需提供的其他资料（如有）</w:t>
      </w:r>
    </w:p>
    <w:p w14:paraId="1C3EA60A">
      <w:pPr>
        <w:pStyle w:val="133"/>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22" w:name="_Toc129095633"/>
      <w:bookmarkStart w:id="223" w:name="_Toc129095527"/>
      <w:r>
        <w:rPr>
          <w:rFonts w:hint="eastAsia" w:ascii="宋体" w:hAnsi="宋体" w:eastAsia="宋体" w:cs="宋体"/>
          <w:b/>
          <w:color w:val="auto"/>
          <w:sz w:val="32"/>
          <w:highlight w:val="none"/>
        </w:rPr>
        <w:t>十、电子开标一览表</w:t>
      </w:r>
      <w:bookmarkEnd w:id="222"/>
      <w:bookmarkEnd w:id="223"/>
    </w:p>
    <w:p w14:paraId="019810BB">
      <w:pPr>
        <w:pStyle w:val="134"/>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222EE546">
      <w:pPr>
        <w:pStyle w:val="135"/>
        <w:spacing w:before="320" w:after="320"/>
        <w:jc w:val="center"/>
        <w:rPr>
          <w:rFonts w:hint="eastAsia" w:ascii="宋体" w:hAnsi="宋体" w:eastAsia="宋体" w:cs="宋体"/>
          <w:color w:val="auto"/>
          <w:sz w:val="32"/>
          <w:szCs w:val="32"/>
          <w:highlight w:val="none"/>
        </w:rPr>
      </w:pPr>
      <w:r>
        <w:rPr>
          <w:rFonts w:hint="eastAsia" w:ascii="宋体" w:hAnsi="宋体" w:eastAsia="宋体" w:cs="宋体"/>
          <w:b/>
          <w:bCs/>
          <w:color w:val="auto"/>
          <w:sz w:val="32"/>
          <w:szCs w:val="32"/>
          <w:highlight w:val="none"/>
        </w:rPr>
        <w:t>开  标 一 览  表</w:t>
      </w:r>
    </w:p>
    <w:p w14:paraId="5A812DC3">
      <w:pPr>
        <w:pStyle w:val="136"/>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r>
        <w:rPr>
          <w:rFonts w:hint="eastAsia" w:ascii="宋体" w:hAnsi="宋体" w:eastAsia="宋体" w:cs="宋体"/>
          <w:color w:val="auto"/>
          <w:spacing w:val="28"/>
          <w:szCs w:val="21"/>
          <w:highlight w:val="none"/>
        </w:rPr>
        <w:t>招标编号</w:t>
      </w:r>
      <w:r>
        <w:rPr>
          <w:rFonts w:hint="eastAsia" w:ascii="宋体" w:hAnsi="宋体" w:eastAsia="宋体" w:cs="宋体"/>
          <w:color w:val="auto"/>
          <w:highlight w:val="none"/>
        </w:rPr>
        <w:t xml:space="preserve">：    </w:t>
      </w:r>
    </w:p>
    <w:p w14:paraId="46EF47A9">
      <w:pPr>
        <w:pStyle w:val="137"/>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xml:space="preserve">        项目名称：    </w:t>
      </w:r>
    </w:p>
    <w:tbl>
      <w:tblPr>
        <w:tblStyle w:val="19"/>
        <w:tblW w:w="8985" w:type="dxa"/>
        <w:tblInd w:w="8" w:type="dxa"/>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autofit"/>
        <w:tblCellMar>
          <w:top w:w="0" w:type="dxa"/>
          <w:left w:w="0" w:type="dxa"/>
          <w:bottom w:w="0" w:type="dxa"/>
          <w:right w:w="0" w:type="dxa"/>
        </w:tblCellMar>
      </w:tblPr>
      <w:tblGrid>
        <w:gridCol w:w="4492"/>
        <w:gridCol w:w="4493"/>
      </w:tblGrid>
      <w:tr w14:paraId="0287256D">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900" w:hRule="atLeast"/>
        </w:trPr>
        <w:tc>
          <w:tcPr>
            <w:tcW w:w="3615" w:type="dxa"/>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4447FCF0">
            <w:pPr>
              <w:pStyle w:val="138"/>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标题 </w:t>
            </w:r>
          </w:p>
        </w:tc>
        <w:tc>
          <w:tcPr>
            <w:tcW w:w="3615" w:type="dxa"/>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62AC1235">
            <w:pPr>
              <w:pStyle w:val="138"/>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内容 </w:t>
            </w:r>
          </w:p>
        </w:tc>
      </w:tr>
    </w:tbl>
    <w:p w14:paraId="3D1F4B8F">
      <w:pPr>
        <w:pStyle w:val="139"/>
        <w:rPr>
          <w:rFonts w:hint="eastAsia" w:ascii="宋体" w:hAnsi="宋体" w:eastAsia="宋体" w:cs="宋体"/>
          <w:color w:val="auto"/>
          <w:highlight w:val="none"/>
        </w:rPr>
      </w:pPr>
    </w:p>
    <w:p w14:paraId="12FCC8CD">
      <w:pPr>
        <w:pStyle w:val="140"/>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24" w:name="_Toc129095634"/>
      <w:bookmarkStart w:id="225" w:name="_Toc129095528"/>
      <w:r>
        <w:rPr>
          <w:rFonts w:hint="eastAsia" w:ascii="宋体" w:hAnsi="宋体" w:eastAsia="宋体" w:cs="宋体"/>
          <w:b/>
          <w:color w:val="auto"/>
          <w:sz w:val="32"/>
          <w:highlight w:val="none"/>
        </w:rPr>
        <w:t>十</w:t>
      </w:r>
      <w:r>
        <w:rPr>
          <w:rFonts w:hint="eastAsia" w:ascii="宋体" w:hAnsi="宋体" w:eastAsia="宋体" w:cs="宋体"/>
          <w:b/>
          <w:color w:val="auto"/>
          <w:sz w:val="32"/>
          <w:highlight w:val="none"/>
          <w:lang w:eastAsia="zh-CN"/>
        </w:rPr>
        <w:t>一</w:t>
      </w:r>
      <w:r>
        <w:rPr>
          <w:rFonts w:hint="eastAsia" w:ascii="宋体" w:hAnsi="宋体" w:eastAsia="宋体" w:cs="宋体"/>
          <w:b/>
          <w:color w:val="auto"/>
          <w:sz w:val="32"/>
          <w:highlight w:val="none"/>
        </w:rPr>
        <w:t>、资格证明文件封面</w:t>
      </w:r>
      <w:bookmarkEnd w:id="224"/>
      <w:bookmarkEnd w:id="225"/>
    </w:p>
    <w:p w14:paraId="4C1EF047">
      <w:pPr>
        <w:pStyle w:val="141"/>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7C96D25D">
      <w:pPr>
        <w:pStyle w:val="142"/>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p>
    <w:p w14:paraId="79D9C40C">
      <w:pPr>
        <w:pStyle w:val="143"/>
        <w:spacing w:before="900" w:after="900"/>
        <w:jc w:val="center"/>
        <w:rPr>
          <w:rFonts w:hint="eastAsia" w:ascii="宋体" w:hAnsi="宋体" w:eastAsia="宋体" w:cs="宋体"/>
          <w:b/>
          <w:bCs/>
          <w:color w:val="auto"/>
          <w:sz w:val="90"/>
          <w:szCs w:val="90"/>
          <w:highlight w:val="none"/>
        </w:rPr>
      </w:pPr>
      <w:r>
        <w:rPr>
          <w:rFonts w:hint="eastAsia" w:ascii="宋体" w:hAnsi="宋体" w:eastAsia="宋体" w:cs="宋体"/>
          <w:b/>
          <w:bCs/>
          <w:color w:val="auto"/>
          <w:sz w:val="90"/>
          <w:szCs w:val="90"/>
          <w:highlight w:val="none"/>
        </w:rPr>
        <w:t>国有企业</w:t>
      </w:r>
    </w:p>
    <w:p w14:paraId="612FB159">
      <w:pPr>
        <w:pStyle w:val="144"/>
        <w:spacing w:before="900" w:after="900"/>
        <w:jc w:val="center"/>
        <w:rPr>
          <w:rFonts w:hint="eastAsia" w:ascii="宋体" w:hAnsi="宋体" w:eastAsia="宋体" w:cs="宋体"/>
          <w:b/>
          <w:bCs/>
          <w:color w:val="auto"/>
          <w:sz w:val="90"/>
          <w:szCs w:val="90"/>
          <w:highlight w:val="none"/>
        </w:rPr>
      </w:pPr>
      <w:r>
        <w:rPr>
          <w:rFonts w:hint="eastAsia" w:ascii="宋体" w:hAnsi="宋体" w:eastAsia="宋体" w:cs="宋体"/>
          <w:b/>
          <w:bCs/>
          <w:color w:val="auto"/>
          <w:sz w:val="90"/>
          <w:szCs w:val="90"/>
          <w:highlight w:val="none"/>
        </w:rPr>
        <w:t>公开招标电子投标文件</w:t>
      </w:r>
    </w:p>
    <w:p w14:paraId="2A782066">
      <w:pPr>
        <w:pStyle w:val="145"/>
        <w:spacing w:before="560" w:after="560"/>
        <w:jc w:val="center"/>
        <w:rPr>
          <w:rFonts w:hint="eastAsia" w:ascii="宋体" w:hAnsi="宋体" w:eastAsia="宋体" w:cs="宋体"/>
          <w:b/>
          <w:bCs/>
          <w:color w:val="auto"/>
          <w:sz w:val="56"/>
          <w:szCs w:val="56"/>
          <w:highlight w:val="none"/>
        </w:rPr>
      </w:pPr>
      <w:r>
        <w:rPr>
          <w:rFonts w:hint="eastAsia" w:ascii="宋体" w:hAnsi="宋体" w:eastAsia="宋体" w:cs="宋体"/>
          <w:b/>
          <w:bCs/>
          <w:color w:val="auto"/>
          <w:sz w:val="56"/>
          <w:szCs w:val="56"/>
          <w:highlight w:val="none"/>
        </w:rPr>
        <w:t>第二册 资格证明文件</w:t>
      </w:r>
    </w:p>
    <w:p w14:paraId="798661EE">
      <w:pPr>
        <w:pStyle w:val="146"/>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p>
    <w:p w14:paraId="460F4484">
      <w:pPr>
        <w:pStyle w:val="147"/>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p>
    <w:tbl>
      <w:tblPr>
        <w:tblStyle w:val="19"/>
        <w:tblW w:w="8985" w:type="dxa"/>
        <w:tblInd w:w="8" w:type="dxa"/>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autofit"/>
        <w:tblCellMar>
          <w:top w:w="0" w:type="dxa"/>
          <w:left w:w="0" w:type="dxa"/>
          <w:bottom w:w="0" w:type="dxa"/>
          <w:right w:w="0" w:type="dxa"/>
        </w:tblCellMar>
      </w:tblPr>
      <w:tblGrid>
        <w:gridCol w:w="7259"/>
        <w:gridCol w:w="1726"/>
      </w:tblGrid>
      <w:tr w14:paraId="4BCED00D">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75E907A8">
            <w:pPr>
              <w:pStyle w:val="148"/>
              <w:rPr>
                <w:rFonts w:hint="eastAsia" w:ascii="宋体" w:hAnsi="宋体" w:eastAsia="宋体" w:cs="宋体"/>
                <w:color w:val="auto"/>
                <w:highlight w:val="none"/>
              </w:rPr>
            </w:pPr>
            <w:r>
              <w:rPr>
                <w:rFonts w:hint="eastAsia" w:ascii="宋体" w:hAnsi="宋体" w:eastAsia="宋体" w:cs="宋体"/>
                <w:color w:val="auto"/>
                <w:sz w:val="44"/>
                <w:szCs w:val="44"/>
                <w:highlight w:val="none"/>
              </w:rPr>
              <w:t>采购项目名称：</w:t>
            </w:r>
          </w:p>
        </w:tc>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619EAE86">
            <w:pPr>
              <w:pStyle w:val="148"/>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60C1FA0C">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2D513A81">
            <w:pPr>
              <w:pStyle w:val="148"/>
              <w:rPr>
                <w:rFonts w:hint="eastAsia" w:ascii="宋体" w:hAnsi="宋体" w:eastAsia="宋体" w:cs="宋体"/>
                <w:color w:val="auto"/>
                <w:highlight w:val="none"/>
              </w:rPr>
            </w:pPr>
            <w:r>
              <w:rPr>
                <w:rFonts w:hint="eastAsia" w:ascii="宋体" w:hAnsi="宋体" w:eastAsia="宋体" w:cs="宋体"/>
                <w:color w:val="auto"/>
                <w:sz w:val="44"/>
                <w:szCs w:val="44"/>
                <w:highlight w:val="none"/>
              </w:rPr>
              <w:t>采  购  人：</w:t>
            </w:r>
          </w:p>
        </w:tc>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7F90A9BC">
            <w:pPr>
              <w:pStyle w:val="148"/>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67FE42E0">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5F4B3669">
            <w:pPr>
              <w:pStyle w:val="148"/>
              <w:rPr>
                <w:rFonts w:hint="eastAsia" w:ascii="宋体" w:hAnsi="宋体" w:eastAsia="宋体" w:cs="宋体"/>
                <w:color w:val="auto"/>
                <w:highlight w:val="none"/>
              </w:rPr>
            </w:pPr>
            <w:r>
              <w:rPr>
                <w:rFonts w:hint="eastAsia" w:ascii="宋体" w:hAnsi="宋体" w:eastAsia="宋体" w:cs="宋体"/>
                <w:color w:val="auto"/>
                <w:sz w:val="44"/>
                <w:szCs w:val="44"/>
                <w:highlight w:val="none"/>
              </w:rPr>
              <w:t>招标编号：</w:t>
            </w:r>
          </w:p>
        </w:tc>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416C15E7">
            <w:pPr>
              <w:pStyle w:val="148"/>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47E13F40">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503C23CF">
            <w:pPr>
              <w:pStyle w:val="148"/>
              <w:rPr>
                <w:rFonts w:hint="eastAsia" w:ascii="宋体" w:hAnsi="宋体" w:eastAsia="宋体" w:cs="宋体"/>
                <w:color w:val="auto"/>
                <w:highlight w:val="none"/>
              </w:rPr>
            </w:pPr>
            <w:r>
              <w:rPr>
                <w:rFonts w:hint="eastAsia" w:ascii="宋体" w:hAnsi="宋体" w:eastAsia="宋体" w:cs="宋体"/>
                <w:color w:val="auto"/>
                <w:sz w:val="44"/>
                <w:szCs w:val="44"/>
                <w:highlight w:val="none"/>
              </w:rPr>
              <w:t>采购代理机构：</w:t>
            </w:r>
          </w:p>
        </w:tc>
        <w:tc>
          <w:tcPr>
            <w:tcW w:w="0" w:type="auto"/>
            <w:tcBorders>
              <w:top w:val="single" w:color="808080" w:sz="6" w:space="0"/>
              <w:left w:val="single" w:color="808080" w:sz="6" w:space="0"/>
              <w:bottom w:val="single" w:color="808080" w:sz="6" w:space="0"/>
              <w:right w:val="single" w:color="808080" w:sz="6" w:space="0"/>
            </w:tcBorders>
            <w:noWrap w:val="0"/>
            <w:tcMar>
              <w:top w:w="0" w:type="dxa"/>
              <w:left w:w="0" w:type="dxa"/>
              <w:bottom w:w="0" w:type="dxa"/>
              <w:right w:w="0" w:type="dxa"/>
            </w:tcMar>
            <w:vAlign w:val="center"/>
          </w:tcPr>
          <w:p w14:paraId="58303373">
            <w:pPr>
              <w:pStyle w:val="148"/>
              <w:rPr>
                <w:rFonts w:hint="eastAsia" w:ascii="宋体" w:hAnsi="宋体" w:eastAsia="宋体" w:cs="宋体"/>
                <w:color w:val="auto"/>
                <w:highlight w:val="none"/>
              </w:rPr>
            </w:pPr>
            <w:r>
              <w:rPr>
                <w:rFonts w:hint="eastAsia" w:ascii="宋体" w:hAnsi="宋体" w:eastAsia="宋体" w:cs="宋体"/>
                <w:color w:val="auto"/>
                <w:highlight w:val="none"/>
              </w:rPr>
              <w:t>   </w:t>
            </w:r>
          </w:p>
        </w:tc>
      </w:tr>
    </w:tbl>
    <w:p w14:paraId="3C068996">
      <w:pPr>
        <w:pStyle w:val="149"/>
        <w:spacing w:before="240" w:after="240"/>
        <w:rPr>
          <w:rFonts w:hint="eastAsia" w:ascii="宋体" w:hAnsi="宋体" w:eastAsia="宋体" w:cs="宋体"/>
          <w:color w:val="auto"/>
          <w:highlight w:val="none"/>
        </w:rPr>
      </w:pPr>
      <w:r>
        <w:rPr>
          <w:rFonts w:hint="eastAsia" w:ascii="宋体" w:hAnsi="宋体" w:eastAsia="宋体" w:cs="宋体"/>
          <w:color w:val="auto"/>
          <w:highlight w:val="none"/>
        </w:rPr>
        <w:t> </w:t>
      </w:r>
    </w:p>
    <w:p w14:paraId="766A8790">
      <w:pPr>
        <w:pStyle w:val="150"/>
        <w:spacing w:before="240" w:after="240"/>
        <w:ind w:firstLine="1749"/>
        <w:jc w:val="center"/>
        <w:rPr>
          <w:rFonts w:hint="eastAsia" w:ascii="宋体" w:hAnsi="宋体" w:eastAsia="宋体" w:cs="宋体"/>
          <w:b/>
          <w:bCs/>
          <w:color w:val="auto"/>
          <w:highlight w:val="none"/>
        </w:rPr>
      </w:pPr>
      <w:r>
        <w:rPr>
          <w:rFonts w:hint="eastAsia" w:ascii="宋体" w:hAnsi="宋体" w:eastAsia="宋体" w:cs="宋体"/>
          <w:b/>
          <w:bCs/>
          <w:color w:val="auto"/>
          <w:sz w:val="32"/>
          <w:szCs w:val="32"/>
          <w:highlight w:val="none"/>
        </w:rPr>
        <w:t>投标人 ：</w:t>
      </w:r>
      <w:r>
        <w:rPr>
          <w:rFonts w:hint="eastAsia" w:ascii="宋体" w:hAnsi="宋体" w:eastAsia="宋体" w:cs="宋体"/>
          <w:b/>
          <w:bCs/>
          <w:color w:val="auto"/>
          <w:highlight w:val="none"/>
        </w:rPr>
        <w:t>   </w:t>
      </w:r>
    </w:p>
    <w:p w14:paraId="096D5F53">
      <w:pPr>
        <w:pStyle w:val="151"/>
        <w:spacing w:before="320" w:after="320"/>
        <w:ind w:firstLine="1749"/>
        <w:jc w:val="center"/>
        <w:rPr>
          <w:rFonts w:hint="eastAsia" w:ascii="宋体" w:hAnsi="宋体" w:eastAsia="宋体" w:cs="宋体"/>
          <w:color w:val="auto"/>
          <w:highlight w:val="none"/>
        </w:rPr>
      </w:pPr>
      <w:r>
        <w:rPr>
          <w:rFonts w:hint="eastAsia" w:ascii="宋体" w:hAnsi="宋体" w:eastAsia="宋体" w:cs="宋体"/>
          <w:b/>
          <w:bCs/>
          <w:color w:val="auto"/>
          <w:sz w:val="32"/>
          <w:szCs w:val="32"/>
          <w:highlight w:val="none"/>
        </w:rPr>
        <w:t>日  期 ：   </w:t>
      </w:r>
      <w:r>
        <w:rPr>
          <w:rFonts w:hint="eastAsia" w:ascii="宋体" w:hAnsi="宋体" w:eastAsia="宋体" w:cs="宋体"/>
          <w:color w:val="auto"/>
          <w:highlight w:val="none"/>
        </w:rPr>
        <w:t> </w:t>
      </w:r>
    </w:p>
    <w:p w14:paraId="03AE2EBF">
      <w:pPr>
        <w:pStyle w:val="152"/>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26" w:name="_Toc129095529"/>
      <w:bookmarkStart w:id="227" w:name="_Toc129095635"/>
      <w:r>
        <w:rPr>
          <w:rFonts w:hint="eastAsia" w:ascii="宋体" w:hAnsi="宋体" w:eastAsia="宋体" w:cs="宋体"/>
          <w:b/>
          <w:color w:val="auto"/>
          <w:sz w:val="32"/>
          <w:highlight w:val="none"/>
        </w:rPr>
        <w:t>十</w:t>
      </w:r>
      <w:r>
        <w:rPr>
          <w:rFonts w:hint="eastAsia" w:ascii="宋体" w:hAnsi="宋体" w:eastAsia="宋体" w:cs="宋体"/>
          <w:b/>
          <w:color w:val="auto"/>
          <w:sz w:val="32"/>
          <w:highlight w:val="none"/>
          <w:lang w:eastAsia="zh-CN"/>
        </w:rPr>
        <w:t>二</w:t>
      </w:r>
      <w:r>
        <w:rPr>
          <w:rFonts w:hint="eastAsia" w:ascii="宋体" w:hAnsi="宋体" w:eastAsia="宋体" w:cs="宋体"/>
          <w:b/>
          <w:color w:val="auto"/>
          <w:sz w:val="32"/>
          <w:highlight w:val="none"/>
        </w:rPr>
        <w:t>、法定代表人身份证明</w:t>
      </w:r>
      <w:bookmarkEnd w:id="226"/>
      <w:bookmarkEnd w:id="227"/>
    </w:p>
    <w:p w14:paraId="7095CD07">
      <w:pPr>
        <w:pStyle w:val="153"/>
        <w:autoSpaceDE w:val="0"/>
        <w:autoSpaceDN w:val="0"/>
        <w:adjustRightInd w:val="0"/>
        <w:snapToGrid w:val="0"/>
        <w:spacing w:line="360" w:lineRule="auto"/>
        <w:ind w:firstLine="420" w:firstLineChars="200"/>
        <w:jc w:val="left"/>
        <w:rPr>
          <w:rFonts w:hint="eastAsia" w:ascii="宋体" w:hAnsi="宋体" w:eastAsia="宋体" w:cs="宋体"/>
          <w:color w:val="auto"/>
          <w:szCs w:val="21"/>
          <w:highlight w:val="none"/>
        </w:rPr>
      </w:pPr>
    </w:p>
    <w:p w14:paraId="1715B0EA">
      <w:pPr>
        <w:pStyle w:val="154"/>
        <w:autoSpaceDE w:val="0"/>
        <w:autoSpaceDN w:val="0"/>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姓名：</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性别：</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身份证号：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职务：</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宋体"/>
          <w:color w:val="auto"/>
          <w:szCs w:val="21"/>
          <w:highlight w:val="none"/>
        </w:rPr>
        <w:t>投标人</w:t>
      </w:r>
      <w:r>
        <w:rPr>
          <w:rFonts w:hint="eastAsia" w:ascii="宋体" w:hAnsi="宋体" w:eastAsia="宋体" w:cs="宋体"/>
          <w:color w:val="auto"/>
          <w:kern w:val="0"/>
          <w:szCs w:val="21"/>
          <w:highlight w:val="none"/>
        </w:rPr>
        <w:t>名称）的法定代表人</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w:t>
      </w:r>
    </w:p>
    <w:p w14:paraId="0892950E">
      <w:pPr>
        <w:pStyle w:val="155"/>
        <w:autoSpaceDE w:val="0"/>
        <w:autoSpaceDN w:val="0"/>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特此证明。</w:t>
      </w:r>
    </w:p>
    <w:p w14:paraId="346A4905">
      <w:pPr>
        <w:pStyle w:val="156"/>
        <w:autoSpaceDE w:val="0"/>
        <w:autoSpaceDN w:val="0"/>
        <w:adjustRightInd w:val="0"/>
        <w:snapToGrid w:val="0"/>
        <w:spacing w:line="360" w:lineRule="auto"/>
        <w:jc w:val="left"/>
        <w:rPr>
          <w:rFonts w:hint="eastAsia" w:ascii="宋体" w:hAnsi="宋体" w:eastAsia="宋体" w:cs="宋体"/>
          <w:color w:val="auto"/>
          <w:kern w:val="0"/>
          <w:szCs w:val="21"/>
          <w:highlight w:val="none"/>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C28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B5419F1">
            <w:pPr>
              <w:pStyle w:val="157"/>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法定代表人身份证复印件</w:t>
            </w:r>
          </w:p>
        </w:tc>
      </w:tr>
    </w:tbl>
    <w:p w14:paraId="037ADDA0">
      <w:pPr>
        <w:pStyle w:val="158"/>
        <w:adjustRightInd w:val="0"/>
        <w:snapToGrid w:val="0"/>
        <w:spacing w:line="360" w:lineRule="auto"/>
        <w:rPr>
          <w:rFonts w:hint="eastAsia" w:ascii="宋体" w:hAnsi="宋体" w:eastAsia="宋体" w:cs="宋体"/>
          <w:color w:val="auto"/>
          <w:szCs w:val="21"/>
          <w:highlight w:val="none"/>
        </w:rPr>
      </w:pPr>
    </w:p>
    <w:p w14:paraId="12EAE9D5">
      <w:pPr>
        <w:pStyle w:val="159"/>
        <w:adjustRightInd w:val="0"/>
        <w:snapToGrid w:val="0"/>
        <w:spacing w:line="360" w:lineRule="auto"/>
        <w:rPr>
          <w:rFonts w:hint="eastAsia" w:ascii="宋体" w:hAnsi="宋体" w:eastAsia="宋体" w:cs="宋体"/>
          <w:color w:val="auto"/>
          <w:szCs w:val="21"/>
          <w:highlight w:val="none"/>
        </w:rPr>
      </w:pPr>
    </w:p>
    <w:p w14:paraId="45A8BA21">
      <w:pPr>
        <w:pStyle w:val="160"/>
        <w:adjustRightInd w:val="0"/>
        <w:snapToGrid w:val="0"/>
        <w:spacing w:line="360" w:lineRule="auto"/>
        <w:rPr>
          <w:rFonts w:hint="eastAsia" w:ascii="宋体" w:hAnsi="宋体" w:eastAsia="宋体" w:cs="宋体"/>
          <w:color w:val="auto"/>
          <w:szCs w:val="21"/>
          <w:highlight w:val="none"/>
        </w:rPr>
      </w:pPr>
    </w:p>
    <w:p w14:paraId="2C4085D9">
      <w:pPr>
        <w:pStyle w:val="161"/>
        <w:adjustRightInd w:val="0"/>
        <w:snapToGrid w:val="0"/>
        <w:spacing w:line="360" w:lineRule="auto"/>
        <w:rPr>
          <w:rFonts w:hint="eastAsia" w:ascii="宋体" w:hAnsi="宋体" w:eastAsia="宋体" w:cs="宋体"/>
          <w:color w:val="auto"/>
          <w:szCs w:val="21"/>
          <w:highlight w:val="none"/>
        </w:rPr>
      </w:pPr>
    </w:p>
    <w:p w14:paraId="0A6FA779">
      <w:pPr>
        <w:pStyle w:val="162"/>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投标人名称（盖单位章）：</w:t>
      </w:r>
    </w:p>
    <w:p w14:paraId="45B67011">
      <w:pPr>
        <w:pStyle w:val="163"/>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日  </w:t>
      </w:r>
    </w:p>
    <w:p w14:paraId="11269240">
      <w:pPr>
        <w:pStyle w:val="164"/>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28" w:name="_Toc129095636"/>
      <w:bookmarkStart w:id="229" w:name="_Toc129095530"/>
      <w:r>
        <w:rPr>
          <w:rFonts w:hint="eastAsia" w:ascii="宋体" w:hAnsi="宋体" w:eastAsia="宋体" w:cs="宋体"/>
          <w:b/>
          <w:color w:val="auto"/>
          <w:sz w:val="32"/>
          <w:highlight w:val="none"/>
        </w:rPr>
        <w:t>十</w:t>
      </w:r>
      <w:r>
        <w:rPr>
          <w:rFonts w:hint="eastAsia" w:ascii="宋体" w:hAnsi="宋体" w:eastAsia="宋体" w:cs="宋体"/>
          <w:b/>
          <w:color w:val="auto"/>
          <w:sz w:val="32"/>
          <w:highlight w:val="none"/>
          <w:lang w:eastAsia="zh-CN"/>
        </w:rPr>
        <w:t>三</w:t>
      </w:r>
      <w:r>
        <w:rPr>
          <w:rFonts w:hint="eastAsia" w:ascii="宋体" w:hAnsi="宋体" w:eastAsia="宋体" w:cs="宋体"/>
          <w:b/>
          <w:color w:val="auto"/>
          <w:sz w:val="32"/>
          <w:highlight w:val="none"/>
        </w:rPr>
        <w:t>、法定代表人授权委托书</w:t>
      </w:r>
      <w:bookmarkEnd w:id="228"/>
      <w:bookmarkEnd w:id="229"/>
    </w:p>
    <w:p w14:paraId="5D4C6936">
      <w:pPr>
        <w:pStyle w:val="165"/>
        <w:autoSpaceDE w:val="0"/>
        <w:autoSpaceDN w:val="0"/>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（委托代理人作为签字代表的提供并附法定代表人身份证明）</w:t>
      </w:r>
    </w:p>
    <w:p w14:paraId="05F83D57">
      <w:pPr>
        <w:pStyle w:val="166"/>
        <w:autoSpaceDE w:val="0"/>
        <w:autoSpaceDN w:val="0"/>
        <w:adjustRightInd w:val="0"/>
        <w:snapToGrid w:val="0"/>
        <w:spacing w:line="360" w:lineRule="auto"/>
        <w:ind w:firstLine="420" w:firstLineChars="200"/>
        <w:jc w:val="left"/>
        <w:rPr>
          <w:rFonts w:hint="eastAsia" w:ascii="宋体" w:hAnsi="宋体" w:eastAsia="宋体" w:cs="宋体"/>
          <w:color w:val="auto"/>
          <w:kern w:val="0"/>
          <w:szCs w:val="21"/>
          <w:highlight w:val="none"/>
        </w:rPr>
      </w:pPr>
    </w:p>
    <w:p w14:paraId="6371DE19">
      <w:pPr>
        <w:pStyle w:val="167"/>
        <w:autoSpaceDE w:val="0"/>
        <w:autoSpaceDN w:val="0"/>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宋体"/>
          <w:color w:val="auto"/>
          <w:szCs w:val="21"/>
          <w:highlight w:val="none"/>
        </w:rPr>
        <w:t>投标人</w:t>
      </w:r>
      <w:r>
        <w:rPr>
          <w:rFonts w:hint="eastAsia" w:ascii="宋体" w:hAnsi="宋体" w:eastAsia="宋体" w:cs="宋体"/>
          <w:color w:val="auto"/>
          <w:kern w:val="0"/>
          <w:szCs w:val="21"/>
          <w:highlight w:val="none"/>
        </w:rPr>
        <w:t>名称）的法定代表人，现授权</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（姓名、职务）为我方代理人。代理人根据授权，以我方名义签署、澄清、说明、补正、递交、撤回、修改</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w:t>
      </w:r>
      <w:r>
        <w:rPr>
          <w:rFonts w:hint="eastAsia" w:ascii="宋体" w:hAnsi="宋体" w:eastAsia="宋体" w:cs="宋体"/>
          <w:color w:val="auto"/>
          <w:highlight w:val="none"/>
        </w:rPr>
        <w:t>招标编号</w:t>
      </w:r>
      <w:r>
        <w:rPr>
          <w:rFonts w:hint="eastAsia" w:ascii="宋体" w:hAnsi="宋体" w:eastAsia="宋体" w:cs="宋体"/>
          <w:iCs/>
          <w:color w:val="auto"/>
          <w:highlight w:val="none"/>
        </w:rPr>
        <w:t>：</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 xml:space="preserve"> </w:t>
      </w:r>
      <w:r>
        <w:rPr>
          <w:rFonts w:hint="eastAsia" w:ascii="宋体" w:hAnsi="宋体" w:eastAsia="宋体" w:cs="宋体"/>
          <w:color w:val="auto"/>
          <w:kern w:val="0"/>
          <w:szCs w:val="21"/>
          <w:highlight w:val="none"/>
        </w:rPr>
        <w:t>）投标文件、签订合同和</w:t>
      </w:r>
      <w:r>
        <w:rPr>
          <w:rFonts w:hint="eastAsia" w:ascii="宋体" w:hAnsi="宋体" w:eastAsia="宋体" w:cs="宋体"/>
          <w:iCs/>
          <w:color w:val="auto"/>
          <w:highlight w:val="none"/>
        </w:rPr>
        <w:t>询问、质疑、投诉</w:t>
      </w:r>
      <w:r>
        <w:rPr>
          <w:rFonts w:hint="eastAsia" w:ascii="宋体" w:hAnsi="宋体" w:eastAsia="宋体" w:cs="宋体"/>
          <w:color w:val="auto"/>
          <w:kern w:val="0"/>
          <w:szCs w:val="21"/>
          <w:highlight w:val="none"/>
        </w:rPr>
        <w:t>等有关事宜，其法律后果由我方承担。</w:t>
      </w:r>
    </w:p>
    <w:p w14:paraId="58722066">
      <w:pPr>
        <w:pStyle w:val="168"/>
        <w:autoSpaceDE w:val="0"/>
        <w:autoSpaceDN w:val="0"/>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193581C0">
      <w:pPr>
        <w:pStyle w:val="169"/>
        <w:adjustRightInd w:val="0"/>
        <w:snapToGrid w:val="0"/>
        <w:spacing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401821C2">
      <w:pPr>
        <w:pStyle w:val="170"/>
        <w:adjustRightInd w:val="0"/>
        <w:snapToGrid w:val="0"/>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日签字生效，特此声明。</w:t>
      </w:r>
    </w:p>
    <w:p w14:paraId="60C346E5">
      <w:pPr>
        <w:pStyle w:val="171"/>
        <w:adjustRightInd w:val="0"/>
        <w:snapToGrid w:val="0"/>
        <w:spacing w:line="360" w:lineRule="auto"/>
        <w:ind w:firstLine="420" w:firstLineChars="200"/>
        <w:rPr>
          <w:rFonts w:hint="eastAsia" w:ascii="宋体" w:hAnsi="宋体" w:eastAsia="宋体" w:cs="宋体"/>
          <w:color w:val="auto"/>
          <w:szCs w:val="21"/>
          <w:highlight w:val="none"/>
        </w:rPr>
      </w:pPr>
    </w:p>
    <w:tbl>
      <w:tblPr>
        <w:tblStyle w:val="19"/>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5BC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278" w:type="dxa"/>
            <w:noWrap w:val="0"/>
            <w:vAlign w:val="center"/>
          </w:tcPr>
          <w:p w14:paraId="561318CA">
            <w:pPr>
              <w:pStyle w:val="172"/>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委托代理人身份证复印件</w:t>
            </w:r>
          </w:p>
        </w:tc>
      </w:tr>
    </w:tbl>
    <w:p w14:paraId="7CB88766">
      <w:pPr>
        <w:pStyle w:val="173"/>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附：法定代表人身份证明及被授权人身份证、社保证明</w:t>
      </w:r>
    </w:p>
    <w:p w14:paraId="114401C3">
      <w:pPr>
        <w:pStyle w:val="173"/>
        <w:adjustRightInd w:val="0"/>
        <w:snapToGrid w:val="0"/>
        <w:spacing w:line="360" w:lineRule="auto"/>
        <w:ind w:firstLine="420" w:firstLineChars="200"/>
        <w:rPr>
          <w:rFonts w:hint="eastAsia" w:ascii="宋体" w:hAnsi="宋体" w:eastAsia="宋体" w:cs="宋体"/>
          <w:color w:val="auto"/>
          <w:szCs w:val="21"/>
          <w:highlight w:val="none"/>
        </w:rPr>
      </w:pPr>
    </w:p>
    <w:p w14:paraId="52E7A227">
      <w:pPr>
        <w:pStyle w:val="173"/>
        <w:adjustRightInd w:val="0"/>
        <w:snapToGrid w:val="0"/>
        <w:spacing w:line="360" w:lineRule="auto"/>
        <w:ind w:firstLine="420" w:firstLineChars="200"/>
        <w:rPr>
          <w:rFonts w:hint="eastAsia" w:ascii="宋体" w:hAnsi="宋体" w:eastAsia="宋体" w:cs="宋体"/>
          <w:color w:val="auto"/>
          <w:szCs w:val="21"/>
          <w:highlight w:val="none"/>
        </w:rPr>
      </w:pPr>
    </w:p>
    <w:p w14:paraId="39239667">
      <w:pPr>
        <w:pStyle w:val="174"/>
        <w:adjustRightInd w:val="0"/>
        <w:snapToGrid w:val="0"/>
        <w:spacing w:line="360" w:lineRule="auto"/>
        <w:ind w:firstLine="420" w:firstLineChars="200"/>
        <w:rPr>
          <w:rFonts w:hint="eastAsia" w:ascii="宋体" w:hAnsi="宋体" w:eastAsia="宋体" w:cs="宋体"/>
          <w:color w:val="auto"/>
          <w:szCs w:val="21"/>
          <w:highlight w:val="none"/>
        </w:rPr>
      </w:pPr>
    </w:p>
    <w:p w14:paraId="4DA8EB3D">
      <w:pPr>
        <w:pStyle w:val="175"/>
        <w:adjustRightInd w:val="0"/>
        <w:snapToGrid w:val="0"/>
        <w:spacing w:line="360" w:lineRule="auto"/>
        <w:ind w:firstLine="420" w:firstLineChars="200"/>
        <w:rPr>
          <w:rFonts w:hint="eastAsia" w:ascii="宋体" w:hAnsi="宋体" w:eastAsia="宋体" w:cs="宋体"/>
          <w:color w:val="auto"/>
          <w:szCs w:val="21"/>
          <w:highlight w:val="none"/>
        </w:rPr>
      </w:pPr>
    </w:p>
    <w:p w14:paraId="7BB70E38">
      <w:pPr>
        <w:pStyle w:val="176"/>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投标人名称（盖单位章）：</w:t>
      </w:r>
    </w:p>
    <w:p w14:paraId="7B30A682">
      <w:pPr>
        <w:pStyle w:val="177"/>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法定代表人（签字或盖章）：</w:t>
      </w:r>
    </w:p>
    <w:p w14:paraId="7B428B87">
      <w:pPr>
        <w:pStyle w:val="178"/>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委托代理人（签字）：</w:t>
      </w:r>
    </w:p>
    <w:p w14:paraId="4858B27B">
      <w:pPr>
        <w:pStyle w:val="179"/>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D46C928">
      <w:pPr>
        <w:pStyle w:val="180"/>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30" w:name="_Toc129095637"/>
      <w:bookmarkStart w:id="231" w:name="_Toc129095531"/>
      <w:r>
        <w:rPr>
          <w:rFonts w:hint="eastAsia" w:ascii="宋体" w:hAnsi="宋体" w:eastAsia="宋体" w:cs="宋体"/>
          <w:b/>
          <w:color w:val="auto"/>
          <w:sz w:val="32"/>
          <w:highlight w:val="none"/>
        </w:rPr>
        <w:t>十</w:t>
      </w:r>
      <w:r>
        <w:rPr>
          <w:rFonts w:hint="eastAsia" w:ascii="宋体" w:hAnsi="宋体" w:eastAsia="宋体" w:cs="宋体"/>
          <w:b/>
          <w:color w:val="auto"/>
          <w:sz w:val="32"/>
          <w:highlight w:val="none"/>
          <w:lang w:eastAsia="zh-CN"/>
        </w:rPr>
        <w:t>四</w:t>
      </w:r>
      <w:r>
        <w:rPr>
          <w:rFonts w:hint="eastAsia" w:ascii="宋体" w:hAnsi="宋体" w:eastAsia="宋体" w:cs="宋体"/>
          <w:b/>
          <w:color w:val="auto"/>
          <w:sz w:val="32"/>
          <w:highlight w:val="none"/>
        </w:rPr>
        <w:t>、投标人具备投标资格的证明文件</w:t>
      </w:r>
      <w:bookmarkEnd w:id="230"/>
      <w:bookmarkEnd w:id="231"/>
    </w:p>
    <w:p w14:paraId="6DB967C7">
      <w:pPr>
        <w:pStyle w:val="181"/>
        <w:jc w:val="center"/>
        <w:rPr>
          <w:rFonts w:hint="eastAsia" w:hAnsi="宋体" w:eastAsia="宋体" w:cs="宋体"/>
          <w:b/>
          <w:bCs/>
          <w:color w:val="auto"/>
          <w:sz w:val="24"/>
          <w:szCs w:val="24"/>
          <w:highlight w:val="none"/>
        </w:rPr>
      </w:pPr>
    </w:p>
    <w:p w14:paraId="40739C80">
      <w:pPr>
        <w:pStyle w:val="183"/>
        <w:jc w:val="center"/>
        <w:rPr>
          <w:rFonts w:hint="eastAsia" w:hAnsi="宋体" w:eastAsia="宋体" w:cs="宋体"/>
          <w:b/>
          <w:bCs/>
          <w:color w:val="auto"/>
          <w:sz w:val="24"/>
          <w:szCs w:val="24"/>
          <w:highlight w:val="none"/>
        </w:rPr>
      </w:pPr>
      <w:r>
        <w:rPr>
          <w:rFonts w:hint="eastAsia" w:hAnsi="宋体" w:eastAsia="宋体" w:cs="宋体"/>
          <w:b/>
          <w:bCs/>
          <w:color w:val="auto"/>
          <w:sz w:val="24"/>
          <w:szCs w:val="24"/>
          <w:highlight w:val="none"/>
        </w:rPr>
        <w:t>填写须知</w:t>
      </w:r>
    </w:p>
    <w:p w14:paraId="19029A9B">
      <w:pPr>
        <w:pStyle w:val="185"/>
        <w:jc w:val="center"/>
        <w:rPr>
          <w:rFonts w:hint="eastAsia" w:hAnsi="宋体" w:eastAsia="宋体" w:cs="宋体"/>
          <w:b/>
          <w:bCs/>
          <w:color w:val="auto"/>
          <w:sz w:val="24"/>
          <w:szCs w:val="24"/>
          <w:highlight w:val="none"/>
        </w:rPr>
      </w:pPr>
    </w:p>
    <w:p w14:paraId="2CC4E0D3">
      <w:pPr>
        <w:pStyle w:val="187"/>
        <w:tabs>
          <w:tab w:val="left" w:pos="4725"/>
        </w:tabs>
        <w:adjustRightInd w:val="0"/>
        <w:snapToGrid w:val="0"/>
        <w:spacing w:before="156" w:beforeLines="50"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1.</w:t>
      </w:r>
      <w:r>
        <w:rPr>
          <w:rFonts w:hint="eastAsia" w:ascii="宋体" w:hAnsi="宋体" w:eastAsia="宋体" w:cs="宋体"/>
          <w:b/>
          <w:color w:val="auto"/>
          <w:szCs w:val="21"/>
          <w:highlight w:val="none"/>
        </w:rPr>
        <w:t>投标人应提供的证明材料</w:t>
      </w:r>
    </w:p>
    <w:p w14:paraId="0838ADFA">
      <w:pPr>
        <w:pStyle w:val="188"/>
        <w:tabs>
          <w:tab w:val="left" w:pos="4725"/>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附页14-1 投标人资格声明（含参加采购活动前三年内在经营活动中没有重大违法记录的书面声明）</w:t>
      </w:r>
    </w:p>
    <w:p w14:paraId="4CCE7FA6">
      <w:pPr>
        <w:pStyle w:val="189"/>
        <w:tabs>
          <w:tab w:val="left" w:pos="4725"/>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附页14-2 投标人基本资格条件的证明材料（法人</w:t>
      </w:r>
      <w:r>
        <w:rPr>
          <w:rFonts w:hint="eastAsia" w:ascii="宋体" w:hAnsi="宋体" w:eastAsia="宋体" w:cs="宋体"/>
          <w:color w:val="auto"/>
          <w:szCs w:val="21"/>
          <w:highlight w:val="none"/>
          <w:lang w:eastAsia="zh-CN"/>
        </w:rPr>
        <w:t>，或者</w:t>
      </w:r>
      <w:r>
        <w:rPr>
          <w:rFonts w:hint="eastAsia" w:ascii="宋体" w:hAnsi="宋体" w:eastAsia="宋体" w:cs="宋体"/>
          <w:color w:val="auto"/>
          <w:szCs w:val="21"/>
          <w:highlight w:val="none"/>
        </w:rPr>
        <w:t>其他组织的营业执照等主体资格证明文件，财务状况报告、依法缴纳税收和社会保险费的相关证明）</w:t>
      </w:r>
    </w:p>
    <w:p w14:paraId="1C0C7357">
      <w:pPr>
        <w:pStyle w:val="190"/>
        <w:tabs>
          <w:tab w:val="left" w:pos="4725"/>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附页14-3 投标人特定资格条件的证明材料</w:t>
      </w:r>
    </w:p>
    <w:p w14:paraId="4D259365">
      <w:pPr>
        <w:pStyle w:val="191"/>
        <w:tabs>
          <w:tab w:val="left" w:pos="4725"/>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附页14-4具有履行本项目采购合同所必须的设备和专业技术能力证明材料</w:t>
      </w:r>
    </w:p>
    <w:p w14:paraId="7438C2CD">
      <w:pPr>
        <w:pStyle w:val="192"/>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036EE4F3">
      <w:pPr>
        <w:pStyle w:val="193"/>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附页</w:t>
      </w:r>
      <w:r>
        <w:rPr>
          <w:rFonts w:hint="eastAsia" w:ascii="宋体" w:hAnsi="宋体" w:eastAsia="宋体" w:cs="宋体"/>
          <w:color w:val="auto"/>
          <w:szCs w:val="21"/>
          <w:highlight w:val="none"/>
        </w:rPr>
        <w:t xml:space="preserve">14-1  </w:t>
      </w:r>
    </w:p>
    <w:p w14:paraId="23519AE1">
      <w:pPr>
        <w:pStyle w:val="194"/>
        <w:widowControl/>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投标人资格声明</w:t>
      </w:r>
    </w:p>
    <w:p w14:paraId="4D7F20E0">
      <w:pPr>
        <w:pStyle w:val="195"/>
        <w:widowControl/>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 w:val="24"/>
          <w:highlight w:val="none"/>
        </w:rPr>
        <w:t xml:space="preserve"> </w:t>
      </w:r>
    </w:p>
    <w:p w14:paraId="5B145BAF">
      <w:pPr>
        <w:pStyle w:val="196"/>
        <w:widowControl/>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致（采购人或采购代理机构）：</w:t>
      </w:r>
    </w:p>
    <w:p w14:paraId="65F81B6F">
      <w:pPr>
        <w:pStyle w:val="197"/>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按照《政府采购法》第二十二条和招标文件的规定，我单位郑重声明如下：</w:t>
      </w:r>
    </w:p>
    <w:p w14:paraId="1D72F2E4">
      <w:pPr>
        <w:pStyle w:val="198"/>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我单位是按照中华人民共和国法律规定登记注册的，全称为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，注册地点为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，统一社会信用代码或注册号为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，法定代表人为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，具有独立承担民事责任的能力。</w:t>
      </w:r>
    </w:p>
    <w:p w14:paraId="4643ACEB">
      <w:pPr>
        <w:pStyle w:val="199"/>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2、我单位具有良好的商业信誉和健全的财务会计制度。</w:t>
      </w:r>
    </w:p>
    <w:p w14:paraId="4424EE27">
      <w:pPr>
        <w:pStyle w:val="200"/>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3、我单位具有履行本项目采购合同所必需的设备和专业技术能力。</w:t>
      </w:r>
    </w:p>
    <w:p w14:paraId="20074B57">
      <w:pPr>
        <w:pStyle w:val="201"/>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4、我单位具有依法缴纳税收和社会保障资金的良好记录。</w:t>
      </w:r>
    </w:p>
    <w:p w14:paraId="08ADC2A5">
      <w:pPr>
        <w:pStyle w:val="202"/>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5、我单位在参加采购项目政府采购活动前三年内，未因违法经营受到刑事处罚或者责令停产停业、吊销许可证或者执照、受到法律法规规定的较大数额罚款等行政处罚。</w:t>
      </w:r>
    </w:p>
    <w:p w14:paraId="32BAB280">
      <w:pPr>
        <w:pStyle w:val="203"/>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6、我单位不存在下列情形之一： </w:t>
      </w:r>
    </w:p>
    <w:p w14:paraId="59BF52E9">
      <w:pPr>
        <w:pStyle w:val="204"/>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（1）与采购人、采购代理机构不存在隶属关系或者其他利害关系；</w:t>
      </w:r>
    </w:p>
    <w:p w14:paraId="31134D09">
      <w:pPr>
        <w:pStyle w:val="205"/>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（2）与参加采购项目的其他投标人不存在直接控股、管理关系，或者与其他投标人法定代表人（或者负责人）为同一人；</w:t>
      </w:r>
    </w:p>
    <w:p w14:paraId="4940CDFD">
      <w:pPr>
        <w:pStyle w:val="206"/>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（3）已为采购项目提供整体设计、规范编制或者项目管理、监理、检测等服务；</w:t>
      </w:r>
    </w:p>
    <w:p w14:paraId="402A06A4">
      <w:pPr>
        <w:pStyle w:val="207"/>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（4）列入失信被执行人、重大税收违法案件当事人名单、政府采购严重违法失信行为记录名单及其他不符合《政府采购法》第二十二条规定条件。</w:t>
      </w:r>
    </w:p>
    <w:p w14:paraId="3D4AC90C">
      <w:pPr>
        <w:pStyle w:val="208"/>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我单位保证上述声明的事项都是真实的，如有虚假，我单位愿意承担相应的法律责任，并承担因此所造成的一切损失。</w:t>
      </w:r>
    </w:p>
    <w:p w14:paraId="4940DEA9">
      <w:pPr>
        <w:pStyle w:val="209"/>
        <w:widowControl/>
        <w:adjustRightInd w:val="0"/>
        <w:snapToGrid w:val="0"/>
        <w:spacing w:line="360" w:lineRule="auto"/>
        <w:ind w:firstLine="420" w:firstLineChars="200"/>
        <w:jc w:val="left"/>
        <w:rPr>
          <w:rFonts w:hint="eastAsia" w:ascii="宋体" w:hAnsi="宋体" w:eastAsia="宋体" w:cs="宋体"/>
          <w:color w:val="auto"/>
          <w:szCs w:val="21"/>
          <w:highlight w:val="none"/>
        </w:rPr>
      </w:pPr>
    </w:p>
    <w:p w14:paraId="6B13AD3E">
      <w:pPr>
        <w:pStyle w:val="210"/>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 </w:t>
      </w:r>
    </w:p>
    <w:p w14:paraId="6C949BE9">
      <w:pPr>
        <w:pStyle w:val="211"/>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 </w:t>
      </w:r>
    </w:p>
    <w:p w14:paraId="70C4762A">
      <w:pPr>
        <w:pStyle w:val="212"/>
        <w:widowControl/>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投标人名称（盖单位章）：</w:t>
      </w:r>
    </w:p>
    <w:p w14:paraId="2F9A5F1F">
      <w:pPr>
        <w:pStyle w:val="213"/>
        <w:widowControl/>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法定代表人或者授权代理人（签字）：</w:t>
      </w:r>
    </w:p>
    <w:p w14:paraId="0A627969">
      <w:pPr>
        <w:pStyle w:val="214"/>
        <w:adjustRightInd w:val="0"/>
        <w:snapToGrid w:val="0"/>
        <w:spacing w:line="360" w:lineRule="auto"/>
        <w:rPr>
          <w:rFonts w:hint="eastAsia" w:ascii="宋体" w:hAnsi="宋体" w:eastAsia="宋体" w:cs="宋体"/>
          <w:bCs/>
          <w:color w:val="auto"/>
          <w:sz w:val="28"/>
          <w:szCs w:val="28"/>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D17CD7D">
      <w:pPr>
        <w:pStyle w:val="215"/>
        <w:adjustRightInd w:val="0"/>
        <w:snapToGrid w:val="0"/>
        <w:spacing w:line="360" w:lineRule="auto"/>
        <w:jc w:val="left"/>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br w:type="page"/>
      </w:r>
    </w:p>
    <w:p w14:paraId="09445937">
      <w:pPr>
        <w:pStyle w:val="216"/>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附页</w:t>
      </w:r>
      <w:r>
        <w:rPr>
          <w:rFonts w:hint="eastAsia" w:ascii="宋体" w:hAnsi="宋体" w:eastAsia="宋体" w:cs="宋体"/>
          <w:color w:val="auto"/>
          <w:szCs w:val="21"/>
          <w:highlight w:val="none"/>
        </w:rPr>
        <w:t xml:space="preserve">14-2  </w:t>
      </w:r>
    </w:p>
    <w:p w14:paraId="0ADDCB0F">
      <w:pPr>
        <w:pStyle w:val="217"/>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投标人基本资格条件的证明材料</w:t>
      </w:r>
    </w:p>
    <w:p w14:paraId="3C990187">
      <w:pPr>
        <w:pStyle w:val="218"/>
        <w:adjustRightInd w:val="0"/>
        <w:snapToGrid w:val="0"/>
        <w:spacing w:line="360" w:lineRule="auto"/>
        <w:ind w:firstLine="643" w:firstLineChars="200"/>
        <w:jc w:val="left"/>
        <w:rPr>
          <w:rFonts w:hint="eastAsia" w:ascii="宋体" w:hAnsi="宋体" w:eastAsia="宋体" w:cs="宋体"/>
          <w:b/>
          <w:color w:val="auto"/>
          <w:sz w:val="32"/>
          <w:szCs w:val="32"/>
          <w:highlight w:val="none"/>
        </w:rPr>
      </w:pPr>
    </w:p>
    <w:p w14:paraId="12F8B69F">
      <w:pPr>
        <w:pStyle w:val="219"/>
        <w:adjustRightInd w:val="0"/>
        <w:snapToGrid w:val="0"/>
        <w:spacing w:line="360" w:lineRule="auto"/>
        <w:ind w:firstLine="422" w:firstLineChars="20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投标人应按招标文件要求提供：</w:t>
      </w:r>
    </w:p>
    <w:p w14:paraId="64C01017">
      <w:pPr>
        <w:pStyle w:val="220"/>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1、法人或者其他组织的营业执照等证明文件。</w:t>
      </w:r>
    </w:p>
    <w:p w14:paraId="097DFFBE">
      <w:pPr>
        <w:pStyle w:val="221"/>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2、依法缴纳税收和社会保险费的证明资料：</w:t>
      </w:r>
    </w:p>
    <w:p w14:paraId="5B4341A9">
      <w:pPr>
        <w:pStyle w:val="222"/>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（1）缴纳税收证明资料（提供下列之一证明材料）：</w:t>
      </w:r>
    </w:p>
    <w:p w14:paraId="270C512B">
      <w:pPr>
        <w:pStyle w:val="223"/>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①《税务登记证》（实行营业执照、组织机构代码证、税务登记证“三证合一”或者营业执照、组织机构代码证、税务登记证、社会保险登记证和统计登记证“五证合一”登记模式的，可不再提供）；</w:t>
      </w:r>
    </w:p>
    <w:p w14:paraId="1F16E3A9">
      <w:pPr>
        <w:pStyle w:val="224"/>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②提交投标文件截止时间前 3 个月内任意一个月依法缴纳税收的证明（纳税凭证）；</w:t>
      </w:r>
    </w:p>
    <w:p w14:paraId="4923752E">
      <w:pPr>
        <w:pStyle w:val="225"/>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③委托他人缴纳的委托代办协议和提交投标文件截止时间前 3 个月内任意一个月的缴纳证明（收据）；</w:t>
      </w:r>
    </w:p>
    <w:p w14:paraId="76292B22">
      <w:pPr>
        <w:pStyle w:val="226"/>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④法定征收机关出具的依法免缴税收的。</w:t>
      </w:r>
    </w:p>
    <w:p w14:paraId="375593C3">
      <w:pPr>
        <w:pStyle w:val="227"/>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（2）缴纳社会保险证明资料（提供下列之一证明材料）：</w:t>
      </w:r>
    </w:p>
    <w:p w14:paraId="4AEE4332">
      <w:pPr>
        <w:pStyle w:val="228"/>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①《社会保险登记证》（实行营业执照、组织机构代码证、税务登记证、社会保险登记证和统计登记证“五证合一”登记制度的，可不再提供）；</w:t>
      </w:r>
    </w:p>
    <w:p w14:paraId="14612A50">
      <w:pPr>
        <w:pStyle w:val="229"/>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②提交投标文件截止时间前 3 个月内任意一个月依法缴纳社会保险的证明（缴费凭证）；</w:t>
      </w:r>
    </w:p>
    <w:p w14:paraId="131B3A18">
      <w:pPr>
        <w:pStyle w:val="230"/>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③委托他人缴纳的委托代办协议和提交投标文件截止时间前 3 个月内任意一个月的缴纳证明（收据）；</w:t>
      </w:r>
    </w:p>
    <w:p w14:paraId="0F99AEAF">
      <w:pPr>
        <w:pStyle w:val="231"/>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④法定征收机关出具的依法免缴保险费的。</w:t>
      </w:r>
    </w:p>
    <w:p w14:paraId="0727EBC9">
      <w:pPr>
        <w:pStyle w:val="221"/>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提供上年度经会计师事务所审计的财务报告（至少包含审计报告、资产负债表、利润表和现金流量表），或由银行出具的资信证明</w:t>
      </w:r>
    </w:p>
    <w:p w14:paraId="55704F69">
      <w:pPr>
        <w:pStyle w:val="232"/>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法律、行政法规规定的其他条件（如果有的话）证明资料。</w:t>
      </w:r>
    </w:p>
    <w:p w14:paraId="293C8E17">
      <w:pPr>
        <w:pStyle w:val="233"/>
        <w:adjustRightInd w:val="0"/>
        <w:snapToGrid w:val="0"/>
        <w:spacing w:line="360" w:lineRule="auto"/>
        <w:ind w:firstLine="420" w:firstLineChars="200"/>
        <w:jc w:val="left"/>
        <w:rPr>
          <w:rFonts w:hint="eastAsia" w:ascii="宋体" w:hAnsi="宋体" w:eastAsia="宋体" w:cs="宋体"/>
          <w:color w:val="auto"/>
          <w:szCs w:val="21"/>
          <w:highlight w:val="none"/>
        </w:rPr>
      </w:pPr>
    </w:p>
    <w:p w14:paraId="2672EA3B">
      <w:pPr>
        <w:pStyle w:val="234"/>
        <w:adjustRightInd w:val="0"/>
        <w:snapToGrid w:val="0"/>
        <w:spacing w:line="36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17DF5B5">
      <w:pPr>
        <w:pStyle w:val="235"/>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附页14-3  </w:t>
      </w:r>
    </w:p>
    <w:p w14:paraId="5FB03CE2">
      <w:pPr>
        <w:pStyle w:val="236"/>
        <w:adjustRightInd w:val="0"/>
        <w:snapToGrid w:val="0"/>
        <w:spacing w:line="360" w:lineRule="auto"/>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投标人特定资格条件的证明材料（如有）</w:t>
      </w:r>
    </w:p>
    <w:p w14:paraId="3ED4913F">
      <w:pPr>
        <w:pStyle w:val="237"/>
        <w:rPr>
          <w:rFonts w:hint="eastAsia" w:ascii="宋体" w:hAnsi="宋体" w:eastAsia="宋体" w:cs="宋体"/>
          <w:color w:val="auto"/>
          <w:sz w:val="28"/>
          <w:szCs w:val="28"/>
          <w:highlight w:val="none"/>
        </w:rPr>
      </w:pPr>
    </w:p>
    <w:p w14:paraId="54F46E90">
      <w:pPr>
        <w:pStyle w:val="238"/>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备注：提供投标人特定资格条件证明资料。</w:t>
      </w:r>
    </w:p>
    <w:p w14:paraId="3A67807C">
      <w:pPr>
        <w:pStyle w:val="239"/>
        <w:tabs>
          <w:tab w:val="left" w:pos="4725"/>
        </w:tabs>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szCs w:val="21"/>
          <w:highlight w:val="none"/>
        </w:rPr>
        <w:t xml:space="preserve">附页14-4  </w:t>
      </w:r>
    </w:p>
    <w:p w14:paraId="03632D40">
      <w:pPr>
        <w:pStyle w:val="240"/>
        <w:tabs>
          <w:tab w:val="left" w:pos="4725"/>
        </w:tabs>
        <w:adjustRightInd w:val="0"/>
        <w:snapToGrid w:val="0"/>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具有履行本项目采购合同所必须的设备和专业技术能力证明材料</w:t>
      </w:r>
      <w:bookmarkEnd w:id="205"/>
    </w:p>
    <w:p w14:paraId="41BAFCC2">
      <w:pPr>
        <w:pStyle w:val="240"/>
        <w:tabs>
          <w:tab w:val="left" w:pos="4725"/>
        </w:tabs>
        <w:adjustRightInd w:val="0"/>
        <w:snapToGrid w:val="0"/>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注：提供承诺书，格式自拟</w:t>
      </w:r>
    </w:p>
    <w:p w14:paraId="24B86F78"/>
    <w:sectPr>
      <w:pgSz w:w="11906" w:h="16838"/>
      <w:pgMar w:top="720" w:right="720" w:bottom="720" w:left="72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94255">
    <w:pPr>
      <w:pStyle w:val="13"/>
      <w:ind w:left="300" w:right="360" w:hanging="300" w:hangingChars="100"/>
      <w:jc w:val="right"/>
      <w:rPr>
        <w:rFonts w:eastAsia="楷体_GB2312" w:cs="Times New Roman"/>
      </w:rPr>
    </w:pPr>
    <w:r>
      <w:rPr>
        <w:rStyle w:val="22"/>
        <w:rFonts w:hint="eastAsia" w:ascii="仿宋_GB2312" w:eastAsia="仿宋_GB2312" w:cs="Times New Roman"/>
        <w:kern w:val="2"/>
        <w:sz w:val="30"/>
        <w:szCs w:val="30"/>
        <w:highlight w:val="white"/>
      </w:rPr>
      <w:t>—</w:t>
    </w:r>
    <w:r>
      <w:rPr>
        <w:rFonts w:hint="eastAsia" w:ascii="仿宋_GB2312" w:eastAsia="仿宋_GB2312" w:cs="Times New Roman"/>
        <w:sz w:val="30"/>
        <w:szCs w:val="30"/>
      </w:rPr>
      <w:fldChar w:fldCharType="begin"/>
    </w:r>
    <w:r>
      <w:rPr>
        <w:rStyle w:val="22"/>
        <w:rFonts w:hint="eastAsia" w:ascii="仿宋_GB2312" w:eastAsia="仿宋_GB2312" w:cs="Times New Roman"/>
        <w:kern w:val="2"/>
        <w:sz w:val="30"/>
        <w:szCs w:val="30"/>
        <w:highlight w:val="white"/>
      </w:rPr>
      <w:instrText xml:space="preserve"> PAGE </w:instrText>
    </w:r>
    <w:r>
      <w:rPr>
        <w:rFonts w:hint="eastAsia" w:ascii="仿宋_GB2312" w:eastAsia="仿宋_GB2312" w:cs="Times New Roman"/>
        <w:sz w:val="30"/>
        <w:szCs w:val="30"/>
      </w:rPr>
      <w:fldChar w:fldCharType="separate"/>
    </w:r>
    <w:r>
      <w:rPr>
        <w:rStyle w:val="22"/>
        <w:rFonts w:ascii="仿宋_GB2312" w:eastAsia="仿宋_GB2312" w:cs="Times New Roman"/>
        <w:kern w:val="2"/>
        <w:sz w:val="30"/>
        <w:szCs w:val="30"/>
        <w:highlight w:val="white"/>
      </w:rPr>
      <w:t>3</w:t>
    </w:r>
    <w:r>
      <w:rPr>
        <w:rFonts w:hint="eastAsia" w:ascii="仿宋_GB2312" w:eastAsia="仿宋_GB2312" w:cs="Times New Roman"/>
        <w:sz w:val="30"/>
        <w:szCs w:val="30"/>
      </w:rPr>
      <w:fldChar w:fldCharType="end"/>
    </w:r>
    <w:r>
      <w:rPr>
        <w:rStyle w:val="22"/>
        <w:rFonts w:hint="eastAsia" w:ascii="仿宋_GB2312" w:eastAsia="仿宋_GB2312" w:cs="Times New Roman"/>
        <w:kern w:val="2"/>
        <w:sz w:val="30"/>
        <w:szCs w:val="30"/>
        <w:highlight w:val="white"/>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76FC5">
    <w:pPr>
      <w:pStyle w:val="14"/>
      <w:pBdr>
        <w:bottom w:val="none" w:color="auto" w:sz="0" w:space="0"/>
      </w:pBdr>
      <w:rPr>
        <w:rFonts w:eastAsia="宋体"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E3217"/>
    <w:multiLevelType w:val="singleLevel"/>
    <w:tmpl w:val="A03E3217"/>
    <w:lvl w:ilvl="0" w:tentative="0">
      <w:start w:val="2"/>
      <w:numFmt w:val="chineseCounting"/>
      <w:suff w:val="nothing"/>
      <w:lvlText w:val="%1、"/>
      <w:lvlJc w:val="left"/>
      <w:rPr>
        <w:rFonts w:hint="eastAsia"/>
      </w:rPr>
    </w:lvl>
  </w:abstractNum>
  <w:abstractNum w:abstractNumId="1">
    <w:nsid w:val="B2692160"/>
    <w:multiLevelType w:val="singleLevel"/>
    <w:tmpl w:val="B2692160"/>
    <w:lvl w:ilvl="0" w:tentative="0">
      <w:start w:val="11"/>
      <w:numFmt w:val="decimal"/>
      <w:suff w:val="nothing"/>
      <w:lvlText w:val="（%1）"/>
      <w:lvlJc w:val="left"/>
    </w:lvl>
  </w:abstractNum>
  <w:abstractNum w:abstractNumId="2">
    <w:nsid w:val="EF2EB2FC"/>
    <w:multiLevelType w:val="singleLevel"/>
    <w:tmpl w:val="EF2EB2FC"/>
    <w:lvl w:ilvl="0" w:tentative="0">
      <w:start w:val="1"/>
      <w:numFmt w:val="decimal"/>
      <w:lvlText w:val="%1."/>
      <w:lvlJc w:val="left"/>
      <w:pPr>
        <w:tabs>
          <w:tab w:val="left" w:pos="312"/>
        </w:tabs>
      </w:pPr>
    </w:lvl>
  </w:abstractNum>
  <w:abstractNum w:abstractNumId="3">
    <w:nsid w:val="10CBDDE0"/>
    <w:multiLevelType w:val="singleLevel"/>
    <w:tmpl w:val="10CBDDE0"/>
    <w:lvl w:ilvl="0" w:tentative="0">
      <w:start w:val="5"/>
      <w:numFmt w:val="decimal"/>
      <w:suff w:val="nothing"/>
      <w:lvlText w:val="%1）"/>
      <w:lvlJc w:val="left"/>
    </w:lvl>
  </w:abstractNum>
  <w:abstractNum w:abstractNumId="4">
    <w:nsid w:val="251A0FD5"/>
    <w:multiLevelType w:val="singleLevel"/>
    <w:tmpl w:val="251A0FD5"/>
    <w:lvl w:ilvl="0" w:tentative="0">
      <w:start w:val="1"/>
      <w:numFmt w:val="decimal"/>
      <w:lvlText w:val="%1."/>
      <w:lvlJc w:val="left"/>
      <w:pPr>
        <w:tabs>
          <w:tab w:val="left" w:pos="312"/>
        </w:tabs>
      </w:pPr>
    </w:lvl>
  </w:abstractNum>
  <w:abstractNum w:abstractNumId="5">
    <w:nsid w:val="28857753"/>
    <w:multiLevelType w:val="singleLevel"/>
    <w:tmpl w:val="28857753"/>
    <w:lvl w:ilvl="0" w:tentative="0">
      <w:start w:val="1"/>
      <w:numFmt w:val="decimal"/>
      <w:lvlText w:val="%1."/>
      <w:lvlJc w:val="left"/>
      <w:pPr>
        <w:tabs>
          <w:tab w:val="left" w:pos="312"/>
        </w:tabs>
      </w:pPr>
    </w:lvl>
  </w:abstractNum>
  <w:abstractNum w:abstractNumId="6">
    <w:nsid w:val="4616B4D3"/>
    <w:multiLevelType w:val="singleLevel"/>
    <w:tmpl w:val="4616B4D3"/>
    <w:lvl w:ilvl="0" w:tentative="0">
      <w:start w:val="1"/>
      <w:numFmt w:val="decimal"/>
      <w:suff w:val="nothing"/>
      <w:lvlText w:val="（%1）"/>
      <w:lvlJc w:val="left"/>
    </w:lvl>
  </w:abstractNum>
  <w:num w:numId="1">
    <w:abstractNumId w:val="0"/>
    <w:lvlOverride w:ilvl="0">
      <w:startOverride w:val="2"/>
    </w:lvlOverride>
  </w:num>
  <w:num w:numId="2">
    <w:abstractNumId w:val="6"/>
  </w:num>
  <w:num w:numId="3">
    <w:abstractNumId w:val="5"/>
  </w:num>
  <w:num w:numId="4">
    <w:abstractNumId w:val="4"/>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AitHsIlUJbN0RbkukqMBHMTlnI=" w:salt="dwvztOGqC/gcAqcxPHFZa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E764B"/>
    <w:rsid w:val="00535E7A"/>
    <w:rsid w:val="02B63465"/>
    <w:rsid w:val="0A073E62"/>
    <w:rsid w:val="0D532759"/>
    <w:rsid w:val="110E764B"/>
    <w:rsid w:val="18CA121C"/>
    <w:rsid w:val="1D3468DE"/>
    <w:rsid w:val="2A736D8B"/>
    <w:rsid w:val="314B6096"/>
    <w:rsid w:val="45DB358E"/>
    <w:rsid w:val="47AD7B4E"/>
    <w:rsid w:val="4D2C70C4"/>
    <w:rsid w:val="51ED20BE"/>
    <w:rsid w:val="5EFC32BA"/>
    <w:rsid w:val="615175E0"/>
    <w:rsid w:val="7B857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
    <w:name w:val="heading 1"/>
    <w:next w:val="1"/>
    <w:qFormat/>
    <w:uiPriority w:val="0"/>
    <w:pPr>
      <w:keepNext/>
      <w:widowControl w:val="0"/>
      <w:jc w:val="center"/>
      <w:outlineLvl w:val="0"/>
    </w:pPr>
    <w:rPr>
      <w:rFonts w:ascii="Times New Roman" w:hAnsi="Times New Roman" w:eastAsia="宋体" w:cs="Times New Roman"/>
      <w:b/>
      <w:bCs/>
      <w:kern w:val="0"/>
      <w:sz w:val="24"/>
      <w:szCs w:val="20"/>
      <w:lang w:val="en-US" w:eastAsia="zh-CN" w:bidi="ar-SA"/>
    </w:rPr>
  </w:style>
  <w:style w:type="paragraph" w:styleId="6">
    <w:name w:val="heading 2"/>
    <w:next w:val="1"/>
    <w:qFormat/>
    <w:uiPriority w:val="0"/>
    <w:pPr>
      <w:keepNext/>
      <w:keepLines/>
      <w:widowControl w:val="0"/>
      <w:spacing w:line="360" w:lineRule="auto"/>
      <w:jc w:val="both"/>
      <w:outlineLvl w:val="1"/>
    </w:pPr>
    <w:rPr>
      <w:rFonts w:ascii="Arial" w:hAnsi="Arial" w:eastAsia="宋体" w:cs="Times New Roman"/>
      <w:b/>
      <w:bCs/>
      <w:kern w:val="0"/>
      <w:sz w:val="24"/>
      <w:szCs w:val="32"/>
      <w:lang w:val="en-US" w:eastAsia="zh-CN" w:bidi="ar-SA"/>
    </w:rPr>
  </w:style>
  <w:style w:type="paragraph" w:styleId="7">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0"/>
      <w:sz w:val="32"/>
      <w:szCs w:val="32"/>
      <w:lang w:val="en-US" w:eastAsia="zh-CN" w:bidi="ar-SA"/>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First Indent 2"/>
    <w:next w:val="3"/>
    <w:unhideWhenUsed/>
    <w:qFormat/>
    <w:uiPriority w:val="99"/>
    <w:pPr>
      <w:widowControl w:val="0"/>
      <w:spacing w:before="100" w:beforeAutospacing="1" w:after="120"/>
      <w:ind w:left="420" w:leftChars="200" w:firstLine="420" w:firstLineChars="200"/>
      <w:jc w:val="both"/>
    </w:pPr>
    <w:rPr>
      <w:rFonts w:ascii="Times New Roman" w:hAnsi="Times New Roman" w:eastAsia="宋体" w:cs="Times New Roman"/>
      <w:kern w:val="0"/>
      <w:sz w:val="20"/>
      <w:szCs w:val="24"/>
      <w:lang w:val="en-US" w:eastAsia="zh-CN" w:bidi="ar-SA"/>
    </w:rPr>
  </w:style>
  <w:style w:type="paragraph" w:styleId="3">
    <w:name w:val="Normal Indent"/>
    <w:next w:val="4"/>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customStyle="1" w:styleId="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8">
    <w:name w:val="annotation text"/>
    <w:semiHidden/>
    <w:qFormat/>
    <w:uiPriority w:val="0"/>
    <w:pPr>
      <w:widowControl w:val="0"/>
      <w:jc w:val="left"/>
    </w:pPr>
    <w:rPr>
      <w:rFonts w:ascii="Times New Roman" w:hAnsi="Times New Roman" w:eastAsia="宋体" w:cs="Times New Roman"/>
      <w:kern w:val="0"/>
      <w:sz w:val="20"/>
      <w:szCs w:val="24"/>
      <w:lang w:val="en-US" w:eastAsia="zh-CN" w:bidi="ar-SA"/>
    </w:rPr>
  </w:style>
  <w:style w:type="paragraph" w:styleId="9">
    <w:name w:val="Body Text Indent"/>
    <w:next w:val="10"/>
    <w:qFormat/>
    <w:uiPriority w:val="0"/>
    <w:pPr>
      <w:widowControl w:val="0"/>
      <w:spacing w:after="120"/>
      <w:ind w:left="420" w:leftChars="200"/>
      <w:jc w:val="both"/>
    </w:pPr>
    <w:rPr>
      <w:rFonts w:ascii="Times New Roman" w:hAnsi="Times New Roman" w:eastAsia="宋体" w:cs="Times New Roman"/>
      <w:kern w:val="0"/>
      <w:sz w:val="20"/>
      <w:szCs w:val="24"/>
      <w:lang w:val="en-US" w:eastAsia="zh-CN" w:bidi="ar-SA"/>
    </w:rPr>
  </w:style>
  <w:style w:type="paragraph" w:styleId="10">
    <w:name w:val="annotation subject"/>
    <w:next w:val="1"/>
    <w:qFormat/>
    <w:uiPriority w:val="0"/>
    <w:pPr>
      <w:widowControl w:val="0"/>
      <w:jc w:val="left"/>
    </w:pPr>
    <w:rPr>
      <w:rFonts w:ascii="Times New Roman" w:hAnsi="Times New Roman" w:eastAsia="宋体" w:cs="Times New Roman"/>
      <w:b/>
      <w:bCs/>
      <w:kern w:val="0"/>
      <w:sz w:val="20"/>
      <w:szCs w:val="24"/>
      <w:lang w:val="en-US" w:eastAsia="zh-CN" w:bidi="ar-SA"/>
    </w:rPr>
  </w:style>
  <w:style w:type="paragraph" w:styleId="11">
    <w:name w:val="toc 3"/>
    <w:next w:val="1"/>
    <w:unhideWhenUsed/>
    <w:qFormat/>
    <w:uiPriority w:val="39"/>
    <w:pPr>
      <w:widowControl w:val="0"/>
      <w:ind w:left="400" w:leftChars="400"/>
      <w:jc w:val="both"/>
    </w:pPr>
    <w:rPr>
      <w:rFonts w:ascii="Times New Roman" w:hAnsi="Times New Roman" w:eastAsia="宋体" w:cs="Times New Roman"/>
      <w:kern w:val="2"/>
      <w:sz w:val="21"/>
      <w:szCs w:val="22"/>
      <w:lang w:val="en-US" w:eastAsia="zh-CN" w:bidi="ar-SA"/>
    </w:rPr>
  </w:style>
  <w:style w:type="paragraph" w:styleId="12">
    <w:name w:val="Plain Text"/>
    <w:qFormat/>
    <w:uiPriority w:val="0"/>
    <w:pPr>
      <w:widowControl w:val="0"/>
      <w:jc w:val="both"/>
    </w:pPr>
    <w:rPr>
      <w:rFonts w:ascii="宋体" w:hAnsi="Courier New" w:eastAsia="宋体" w:cs="Times New Roman"/>
      <w:kern w:val="0"/>
      <w:sz w:val="20"/>
      <w:szCs w:val="21"/>
      <w:lang w:val="en-US" w:eastAsia="zh-CN" w:bidi="ar-SA"/>
    </w:rPr>
  </w:style>
  <w:style w:type="paragraph" w:styleId="13">
    <w:name w:val="footer"/>
    <w:qFormat/>
    <w:uiPriority w:val="0"/>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paragraph" w:styleId="14">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lang w:val="en-US" w:eastAsia="zh-CN" w:bidi="ar-SA"/>
    </w:rPr>
  </w:style>
  <w:style w:type="paragraph" w:styleId="15">
    <w:name w:val="toc 1"/>
    <w:next w:val="1"/>
    <w:qFormat/>
    <w:uiPriority w:val="39"/>
    <w:pPr>
      <w:widowControl w:val="0"/>
      <w:jc w:val="both"/>
    </w:pPr>
    <w:rPr>
      <w:rFonts w:ascii="宋体" w:hAnsi="宋体" w:eastAsia="宋体" w:cs="Times New Roman"/>
      <w:kern w:val="2"/>
      <w:sz w:val="21"/>
      <w:szCs w:val="21"/>
      <w:lang w:val="en-US" w:eastAsia="zh-CN" w:bidi="ar-SA"/>
    </w:rPr>
  </w:style>
  <w:style w:type="paragraph" w:styleId="16">
    <w:name w:val="toc 2"/>
    <w:next w:val="1"/>
    <w:unhideWhenUsed/>
    <w:qFormat/>
    <w:uiPriority w:val="39"/>
    <w:pPr>
      <w:widowControl w:val="0"/>
      <w:ind w:left="420" w:leftChars="200"/>
      <w:jc w:val="both"/>
    </w:pPr>
    <w:rPr>
      <w:rFonts w:ascii="Times New Roman" w:hAnsi="Times New Roman" w:eastAsia="宋体" w:cs="Times New Roman"/>
      <w:kern w:val="2"/>
      <w:sz w:val="21"/>
      <w:szCs w:val="22"/>
      <w:lang w:val="en-US" w:eastAsia="zh-CN" w:bidi="ar-SA"/>
    </w:rPr>
  </w:style>
  <w:style w:type="paragraph" w:styleId="17">
    <w:name w:val="Body Text 2"/>
    <w:qFormat/>
    <w:uiPriority w:val="0"/>
    <w:pPr>
      <w:widowControl w:val="0"/>
      <w:spacing w:after="120" w:line="480" w:lineRule="auto"/>
      <w:jc w:val="both"/>
    </w:pPr>
    <w:rPr>
      <w:rFonts w:ascii="Times New Roman" w:hAnsi="Times New Roman" w:eastAsia="宋体" w:cs="Times New Roman"/>
      <w:kern w:val="0"/>
      <w:sz w:val="20"/>
      <w:szCs w:val="24"/>
      <w:lang w:val="en-US" w:eastAsia="zh-CN" w:bidi="ar-SA"/>
    </w:rPr>
  </w:style>
  <w:style w:type="paragraph" w:styleId="18">
    <w:name w:val="Normal (Web)"/>
    <w:qFormat/>
    <w:uiPriority w:val="0"/>
    <w:pPr>
      <w:widowControl/>
      <w:spacing w:before="100" w:beforeAutospacing="1" w:after="100" w:afterAutospacing="1"/>
      <w:jc w:val="left"/>
    </w:pPr>
    <w:rPr>
      <w:rFonts w:ascii="宋体" w:hAnsi="宋体" w:eastAsia="宋体" w:cs="宋体"/>
      <w:kern w:val="0"/>
      <w:sz w:val="24"/>
      <w:szCs w:val="22"/>
      <w:lang w:val="en-US" w:eastAsia="zh-CN" w:bidi="ar-SA"/>
    </w:rPr>
  </w:style>
  <w:style w:type="character" w:styleId="21">
    <w:name w:val="Strong"/>
    <w:qFormat/>
    <w:uiPriority w:val="0"/>
    <w:rPr>
      <w:b/>
      <w:bCs/>
    </w:rPr>
  </w:style>
  <w:style w:type="character" w:styleId="22">
    <w:name w:val="page number"/>
    <w:qFormat/>
    <w:uiPriority w:val="0"/>
  </w:style>
  <w:style w:type="character" w:styleId="23">
    <w:name w:val="Hyperlink"/>
    <w:qFormat/>
    <w:uiPriority w:val="99"/>
    <w:rPr>
      <w:color w:val="136EC2"/>
      <w:u w:val="single"/>
    </w:rPr>
  </w:style>
  <w:style w:type="paragraph" w:customStyle="1" w:styleId="24">
    <w:name w:val="Normal_7"/>
    <w:qFormat/>
    <w:uiPriority w:val="0"/>
    <w:rPr>
      <w:rFonts w:ascii="Times New Roman" w:hAnsi="Times New Roman" w:eastAsia="Times New Roman" w:cs="Times New Roman"/>
      <w:sz w:val="24"/>
      <w:szCs w:val="24"/>
      <w:lang w:bidi="ar-SA"/>
    </w:rPr>
  </w:style>
  <w:style w:type="paragraph" w:customStyle="1" w:styleId="25">
    <w:name w:val="Normal_0"/>
    <w:qFormat/>
    <w:uiPriority w:val="0"/>
    <w:rPr>
      <w:rFonts w:ascii="Times New Roman" w:hAnsi="Times New Roman" w:eastAsia="Times New Roman" w:cs="Times New Roman"/>
      <w:sz w:val="24"/>
      <w:szCs w:val="24"/>
      <w:lang w:bidi="ar-SA"/>
    </w:rPr>
  </w:style>
  <w:style w:type="paragraph" w:customStyle="1" w:styleId="26">
    <w:name w:val="Normal_0_0"/>
    <w:qFormat/>
    <w:uiPriority w:val="0"/>
    <w:rPr>
      <w:rFonts w:ascii="Times New Roman" w:hAnsi="Times New Roman" w:eastAsia="Times New Roman" w:cs="Times New Roman"/>
      <w:sz w:val="24"/>
      <w:szCs w:val="24"/>
      <w:lang w:bidi="ar-SA"/>
    </w:rPr>
  </w:style>
  <w:style w:type="paragraph" w:customStyle="1" w:styleId="27">
    <w:name w:val="Normal_1"/>
    <w:qFormat/>
    <w:uiPriority w:val="0"/>
    <w:rPr>
      <w:rFonts w:ascii="Times New Roman" w:hAnsi="Times New Roman" w:eastAsia="Times New Roman" w:cs="Times New Roman"/>
      <w:sz w:val="24"/>
      <w:szCs w:val="24"/>
      <w:lang w:bidi="ar-SA"/>
    </w:rPr>
  </w:style>
  <w:style w:type="paragraph" w:customStyle="1" w:styleId="28">
    <w:name w:val="Normal_0_0_0"/>
    <w:qFormat/>
    <w:uiPriority w:val="0"/>
    <w:rPr>
      <w:rFonts w:ascii="Times New Roman" w:hAnsi="Times New Roman" w:eastAsia="Times New Roman" w:cs="Times New Roman"/>
      <w:sz w:val="24"/>
      <w:szCs w:val="24"/>
      <w:lang w:bidi="ar-SA"/>
    </w:rPr>
  </w:style>
  <w:style w:type="paragraph" w:customStyle="1" w:styleId="29">
    <w:name w:val="Normal_2"/>
    <w:qFormat/>
    <w:uiPriority w:val="0"/>
    <w:rPr>
      <w:rFonts w:ascii="Times New Roman" w:hAnsi="Times New Roman" w:eastAsia="Times New Roman" w:cs="Times New Roman"/>
      <w:sz w:val="24"/>
      <w:szCs w:val="24"/>
      <w:lang w:bidi="ar-SA"/>
    </w:rPr>
  </w:style>
  <w:style w:type="paragraph" w:customStyle="1" w:styleId="30">
    <w:name w:val="Normal_0_1"/>
    <w:qFormat/>
    <w:uiPriority w:val="0"/>
    <w:rPr>
      <w:rFonts w:ascii="Times New Roman" w:hAnsi="Times New Roman" w:eastAsia="Times New Roman" w:cs="Times New Roman"/>
      <w:sz w:val="24"/>
      <w:szCs w:val="24"/>
      <w:lang w:bidi="ar-SA"/>
    </w:rPr>
  </w:style>
  <w:style w:type="paragraph" w:customStyle="1" w:styleId="31">
    <w:name w:val="Normal_3"/>
    <w:qFormat/>
    <w:uiPriority w:val="0"/>
    <w:rPr>
      <w:rFonts w:ascii="Times New Roman" w:hAnsi="Times New Roman" w:eastAsia="Times New Roman" w:cs="Times New Roman"/>
      <w:sz w:val="24"/>
      <w:szCs w:val="24"/>
      <w:lang w:bidi="ar-SA"/>
    </w:rPr>
  </w:style>
  <w:style w:type="paragraph" w:customStyle="1" w:styleId="32">
    <w:name w:val="Normal_0_2"/>
    <w:qFormat/>
    <w:uiPriority w:val="0"/>
    <w:rPr>
      <w:rFonts w:ascii="Times New Roman" w:hAnsi="Times New Roman" w:eastAsia="Times New Roman" w:cs="Times New Roman"/>
      <w:sz w:val="24"/>
      <w:szCs w:val="24"/>
      <w:lang w:bidi="ar-SA"/>
    </w:rPr>
  </w:style>
  <w:style w:type="paragraph" w:customStyle="1" w:styleId="33">
    <w:name w:val="Normal_5"/>
    <w:qFormat/>
    <w:uiPriority w:val="0"/>
    <w:rPr>
      <w:rFonts w:ascii="Times New Roman" w:hAnsi="Times New Roman" w:eastAsia="Times New Roman" w:cs="Times New Roman"/>
      <w:sz w:val="24"/>
      <w:szCs w:val="24"/>
      <w:lang w:bidi="ar-SA"/>
    </w:rPr>
  </w:style>
  <w:style w:type="paragraph" w:customStyle="1" w:styleId="34">
    <w:name w:val="Normal_6"/>
    <w:qFormat/>
    <w:uiPriority w:val="0"/>
    <w:rPr>
      <w:rFonts w:ascii="Times New Roman" w:hAnsi="Times New Roman" w:eastAsia="Times New Roman" w:cs="Times New Roman"/>
      <w:sz w:val="24"/>
      <w:szCs w:val="24"/>
      <w:lang w:bidi="ar-SA"/>
    </w:rPr>
  </w:style>
  <w:style w:type="paragraph" w:customStyle="1" w:styleId="35">
    <w:name w:val="_Style 24"/>
    <w:next w:val="1"/>
    <w:qFormat/>
    <w:uiPriority w:val="39"/>
    <w:pPr>
      <w:keepNext/>
      <w:keepLines/>
      <w:widowControl/>
      <w:spacing w:before="480" w:line="276" w:lineRule="auto"/>
      <w:jc w:val="left"/>
      <w:outlineLvl w:val="9"/>
    </w:pPr>
    <w:rPr>
      <w:rFonts w:ascii="Cambria" w:hAnsi="Cambria" w:eastAsia="宋体" w:cs="Times New Roman"/>
      <w:b/>
      <w:bCs/>
      <w:color w:val="365F91"/>
      <w:kern w:val="0"/>
      <w:sz w:val="28"/>
      <w:szCs w:val="28"/>
      <w:lang w:val="en-US" w:eastAsia="zh-CN" w:bidi="ar-SA"/>
    </w:rPr>
  </w:style>
  <w:style w:type="paragraph" w:customStyle="1" w:styleId="36">
    <w:name w:val="Normal_8"/>
    <w:qFormat/>
    <w:uiPriority w:val="0"/>
    <w:rPr>
      <w:rFonts w:ascii="Times New Roman" w:hAnsi="Times New Roman" w:eastAsia="Times New Roman" w:cs="Times New Roman"/>
      <w:sz w:val="24"/>
      <w:szCs w:val="24"/>
      <w:lang w:bidi="ar-SA"/>
    </w:rPr>
  </w:style>
  <w:style w:type="paragraph" w:customStyle="1" w:styleId="37">
    <w:name w:val="Normal_27"/>
    <w:qFormat/>
    <w:uiPriority w:val="0"/>
    <w:rPr>
      <w:rFonts w:ascii="Times New Roman" w:hAnsi="Times New Roman" w:eastAsia="Times New Roman" w:cs="Times New Roman"/>
      <w:sz w:val="24"/>
      <w:szCs w:val="24"/>
      <w:lang w:bidi="ar-SA"/>
    </w:rPr>
  </w:style>
  <w:style w:type="paragraph" w:customStyle="1" w:styleId="38">
    <w:name w:val="Normal_9"/>
    <w:qFormat/>
    <w:uiPriority w:val="0"/>
    <w:rPr>
      <w:rFonts w:ascii="Times New Roman" w:hAnsi="Times New Roman" w:eastAsia="Times New Roman" w:cs="Times New Roman"/>
      <w:sz w:val="24"/>
      <w:szCs w:val="24"/>
      <w:lang w:bidi="ar-SA"/>
    </w:rPr>
  </w:style>
  <w:style w:type="paragraph" w:customStyle="1" w:styleId="39">
    <w:name w:val="Normal_10"/>
    <w:qFormat/>
    <w:uiPriority w:val="0"/>
    <w:rPr>
      <w:rFonts w:ascii="Times New Roman" w:hAnsi="Times New Roman" w:eastAsia="Times New Roman" w:cs="Times New Roman"/>
      <w:sz w:val="24"/>
      <w:szCs w:val="24"/>
      <w:lang w:bidi="ar-SA"/>
    </w:rPr>
  </w:style>
  <w:style w:type="paragraph" w:customStyle="1" w:styleId="40">
    <w:name w:val="Normal_11"/>
    <w:qFormat/>
    <w:uiPriority w:val="0"/>
    <w:rPr>
      <w:rFonts w:ascii="Times New Roman" w:hAnsi="Times New Roman" w:eastAsia="Times New Roman" w:cs="Times New Roman"/>
      <w:sz w:val="24"/>
      <w:szCs w:val="24"/>
      <w:lang w:bidi="ar-SA"/>
    </w:rPr>
  </w:style>
  <w:style w:type="paragraph" w:customStyle="1" w:styleId="41">
    <w:name w:val="Normal_12"/>
    <w:qFormat/>
    <w:uiPriority w:val="0"/>
    <w:rPr>
      <w:rFonts w:ascii="Times New Roman" w:hAnsi="Times New Roman" w:eastAsia="Times New Roman" w:cs="Times New Roman"/>
      <w:sz w:val="24"/>
      <w:szCs w:val="24"/>
      <w:lang w:bidi="ar-SA"/>
    </w:rPr>
  </w:style>
  <w:style w:type="paragraph" w:customStyle="1" w:styleId="42">
    <w:name w:val="Normal_14"/>
    <w:qFormat/>
    <w:uiPriority w:val="0"/>
    <w:rPr>
      <w:rFonts w:ascii="Times New Roman" w:hAnsi="Times New Roman" w:eastAsia="Times New Roman" w:cs="Times New Roman"/>
      <w:sz w:val="24"/>
      <w:szCs w:val="24"/>
      <w:lang w:bidi="ar-SA"/>
    </w:rPr>
  </w:style>
  <w:style w:type="paragraph" w:customStyle="1" w:styleId="43">
    <w:name w:val="Normal_16"/>
    <w:qFormat/>
    <w:uiPriority w:val="0"/>
    <w:rPr>
      <w:rFonts w:ascii="Times New Roman" w:hAnsi="Times New Roman" w:eastAsia="Times New Roman" w:cs="Times New Roman"/>
      <w:sz w:val="24"/>
      <w:szCs w:val="24"/>
      <w:lang w:bidi="ar-SA"/>
    </w:rPr>
  </w:style>
  <w:style w:type="paragraph" w:customStyle="1" w:styleId="44">
    <w:name w:val="Normal_17"/>
    <w:qFormat/>
    <w:uiPriority w:val="0"/>
    <w:rPr>
      <w:rFonts w:ascii="Times New Roman" w:hAnsi="Times New Roman" w:eastAsia="Times New Roman" w:cs="Times New Roman"/>
      <w:sz w:val="24"/>
      <w:szCs w:val="24"/>
      <w:lang w:bidi="ar-SA"/>
    </w:rPr>
  </w:style>
  <w:style w:type="paragraph" w:customStyle="1" w:styleId="45">
    <w:name w:val="Normal_18"/>
    <w:qFormat/>
    <w:uiPriority w:val="0"/>
    <w:rPr>
      <w:rFonts w:ascii="Times New Roman" w:hAnsi="Times New Roman" w:eastAsia="Times New Roman" w:cs="Times New Roman"/>
      <w:sz w:val="24"/>
      <w:szCs w:val="24"/>
      <w:lang w:bidi="ar-SA"/>
    </w:rPr>
  </w:style>
  <w:style w:type="paragraph" w:customStyle="1" w:styleId="46">
    <w:name w:val="Normal_19"/>
    <w:qFormat/>
    <w:uiPriority w:val="0"/>
    <w:rPr>
      <w:rFonts w:ascii="Times New Roman" w:hAnsi="Times New Roman" w:eastAsia="Times New Roman" w:cs="Times New Roman"/>
      <w:sz w:val="24"/>
      <w:szCs w:val="24"/>
      <w:lang w:bidi="ar-SA"/>
    </w:rPr>
  </w:style>
  <w:style w:type="paragraph" w:customStyle="1" w:styleId="47">
    <w:name w:val="Normal_20"/>
    <w:qFormat/>
    <w:uiPriority w:val="0"/>
    <w:rPr>
      <w:rFonts w:ascii="Times New Roman" w:hAnsi="Times New Roman" w:eastAsia="Times New Roman" w:cs="Times New Roman"/>
      <w:sz w:val="24"/>
      <w:szCs w:val="24"/>
      <w:lang w:bidi="ar-SA"/>
    </w:rPr>
  </w:style>
  <w:style w:type="paragraph" w:customStyle="1" w:styleId="48">
    <w:name w:val="Normal_21"/>
    <w:qFormat/>
    <w:uiPriority w:val="0"/>
    <w:rPr>
      <w:rFonts w:ascii="Times New Roman" w:hAnsi="Times New Roman" w:eastAsia="Times New Roman" w:cs="Times New Roman"/>
      <w:sz w:val="24"/>
      <w:szCs w:val="24"/>
      <w:lang w:bidi="ar-SA"/>
    </w:rPr>
  </w:style>
  <w:style w:type="paragraph" w:customStyle="1" w:styleId="49">
    <w:name w:val="Normal_22"/>
    <w:qFormat/>
    <w:uiPriority w:val="0"/>
    <w:rPr>
      <w:rFonts w:ascii="Times New Roman" w:hAnsi="Times New Roman" w:eastAsia="Times New Roman" w:cs="Times New Roman"/>
      <w:sz w:val="24"/>
      <w:szCs w:val="24"/>
      <w:lang w:bidi="ar-SA"/>
    </w:rPr>
  </w:style>
  <w:style w:type="paragraph" w:customStyle="1" w:styleId="50">
    <w:name w:val="Normal_23"/>
    <w:qFormat/>
    <w:uiPriority w:val="0"/>
    <w:rPr>
      <w:rFonts w:ascii="Times New Roman" w:hAnsi="Times New Roman" w:eastAsia="Times New Roman" w:cs="Times New Roman"/>
      <w:sz w:val="24"/>
      <w:szCs w:val="24"/>
      <w:lang w:bidi="ar-SA"/>
    </w:rPr>
  </w:style>
  <w:style w:type="paragraph" w:customStyle="1" w:styleId="51">
    <w:name w:val="Normal_24"/>
    <w:qFormat/>
    <w:uiPriority w:val="0"/>
    <w:rPr>
      <w:rFonts w:ascii="Times New Roman" w:hAnsi="Times New Roman" w:eastAsia="Times New Roman" w:cs="Times New Roman"/>
      <w:sz w:val="24"/>
      <w:szCs w:val="24"/>
      <w:lang w:bidi="ar-SA"/>
    </w:rPr>
  </w:style>
  <w:style w:type="paragraph" w:customStyle="1" w:styleId="52">
    <w:name w:val="Normal_25"/>
    <w:qFormat/>
    <w:uiPriority w:val="0"/>
    <w:rPr>
      <w:rFonts w:ascii="Times New Roman" w:hAnsi="Times New Roman" w:eastAsia="Times New Roman" w:cs="Times New Roman"/>
      <w:sz w:val="24"/>
      <w:szCs w:val="24"/>
      <w:lang w:bidi="ar-SA"/>
    </w:rPr>
  </w:style>
  <w:style w:type="paragraph" w:customStyle="1" w:styleId="53">
    <w:name w:val="Normal_0_0_1"/>
    <w:qFormat/>
    <w:uiPriority w:val="0"/>
    <w:rPr>
      <w:rFonts w:ascii="Times New Roman" w:hAnsi="Times New Roman" w:eastAsia="Times New Roman" w:cs="Times New Roman"/>
      <w:sz w:val="24"/>
      <w:szCs w:val="24"/>
      <w:lang w:bidi="ar-SA"/>
    </w:rPr>
  </w:style>
  <w:style w:type="paragraph" w:customStyle="1" w:styleId="54">
    <w:name w:val="Normal_1_0"/>
    <w:qFormat/>
    <w:uiPriority w:val="0"/>
    <w:rPr>
      <w:rFonts w:ascii="Times New Roman" w:hAnsi="Times New Roman" w:eastAsia="Times New Roman" w:cs="Times New Roman"/>
      <w:sz w:val="24"/>
      <w:szCs w:val="24"/>
      <w:lang w:bidi="ar-SA"/>
    </w:rPr>
  </w:style>
  <w:style w:type="paragraph" w:customStyle="1" w:styleId="55">
    <w:name w:val="Normal_1_1"/>
    <w:qFormat/>
    <w:uiPriority w:val="0"/>
    <w:rPr>
      <w:rFonts w:ascii="Times New Roman" w:hAnsi="Times New Roman" w:eastAsia="Times New Roman" w:cs="Times New Roman"/>
      <w:sz w:val="24"/>
      <w:szCs w:val="24"/>
      <w:lang w:bidi="ar-SA"/>
    </w:rPr>
  </w:style>
  <w:style w:type="paragraph" w:customStyle="1" w:styleId="56">
    <w:name w:val="Normal_1_2"/>
    <w:qFormat/>
    <w:uiPriority w:val="0"/>
    <w:rPr>
      <w:rFonts w:ascii="Times New Roman" w:hAnsi="Times New Roman" w:eastAsia="Times New Roman" w:cs="Times New Roman"/>
      <w:sz w:val="24"/>
      <w:szCs w:val="24"/>
      <w:lang w:bidi="ar-SA"/>
    </w:rPr>
  </w:style>
  <w:style w:type="paragraph" w:customStyle="1" w:styleId="57">
    <w:name w:val="Normal_1_3"/>
    <w:qFormat/>
    <w:uiPriority w:val="0"/>
    <w:rPr>
      <w:rFonts w:ascii="Times New Roman" w:hAnsi="Times New Roman" w:eastAsia="Times New Roman" w:cs="Times New Roman"/>
      <w:sz w:val="24"/>
      <w:szCs w:val="24"/>
      <w:lang w:bidi="ar-SA"/>
    </w:rPr>
  </w:style>
  <w:style w:type="paragraph" w:customStyle="1" w:styleId="58">
    <w:name w:val="Normal_1_4"/>
    <w:qFormat/>
    <w:uiPriority w:val="0"/>
    <w:rPr>
      <w:rFonts w:ascii="Times New Roman" w:hAnsi="Times New Roman" w:eastAsia="Times New Roman" w:cs="Times New Roman"/>
      <w:sz w:val="24"/>
      <w:szCs w:val="24"/>
      <w:lang w:bidi="ar-SA"/>
    </w:rPr>
  </w:style>
  <w:style w:type="paragraph" w:customStyle="1" w:styleId="59">
    <w:name w:val="Normal_1_5"/>
    <w:qFormat/>
    <w:uiPriority w:val="0"/>
    <w:rPr>
      <w:rFonts w:ascii="Times New Roman" w:hAnsi="Times New Roman" w:eastAsia="Times New Roman" w:cs="Times New Roman"/>
      <w:sz w:val="24"/>
      <w:szCs w:val="24"/>
      <w:lang w:bidi="ar-SA"/>
    </w:rPr>
  </w:style>
  <w:style w:type="paragraph" w:customStyle="1" w:styleId="60">
    <w:name w:val="Normal_1_7"/>
    <w:qFormat/>
    <w:uiPriority w:val="0"/>
    <w:rPr>
      <w:rFonts w:ascii="Times New Roman" w:hAnsi="Times New Roman" w:eastAsia="Times New Roman" w:cs="Times New Roman"/>
      <w:sz w:val="24"/>
      <w:szCs w:val="24"/>
      <w:lang w:bidi="ar-SA"/>
    </w:rPr>
  </w:style>
  <w:style w:type="paragraph" w:customStyle="1" w:styleId="61">
    <w:name w:val="Normal_1_8"/>
    <w:qFormat/>
    <w:uiPriority w:val="0"/>
    <w:rPr>
      <w:rFonts w:ascii="Times New Roman" w:hAnsi="Times New Roman" w:eastAsia="Times New Roman" w:cs="Times New Roman"/>
      <w:sz w:val="24"/>
      <w:szCs w:val="24"/>
      <w:lang w:bidi="ar-SA"/>
    </w:rPr>
  </w:style>
  <w:style w:type="paragraph" w:customStyle="1" w:styleId="62">
    <w:name w:val="Normal_1_10"/>
    <w:qFormat/>
    <w:uiPriority w:val="0"/>
    <w:rPr>
      <w:rFonts w:ascii="Times New Roman" w:hAnsi="Times New Roman" w:eastAsia="Times New Roman" w:cs="Times New Roman"/>
      <w:sz w:val="24"/>
      <w:szCs w:val="24"/>
      <w:lang w:bidi="ar-SA"/>
    </w:rPr>
  </w:style>
  <w:style w:type="paragraph" w:customStyle="1" w:styleId="63">
    <w:name w:val="Normal_1_11"/>
    <w:qFormat/>
    <w:uiPriority w:val="0"/>
    <w:rPr>
      <w:rFonts w:ascii="Times New Roman" w:hAnsi="Times New Roman" w:eastAsia="Times New Roman" w:cs="Times New Roman"/>
      <w:sz w:val="24"/>
      <w:szCs w:val="24"/>
      <w:lang w:bidi="ar-SA"/>
    </w:rPr>
  </w:style>
  <w:style w:type="paragraph" w:customStyle="1" w:styleId="64">
    <w:name w:val="Normal_2_0"/>
    <w:qFormat/>
    <w:uiPriority w:val="0"/>
    <w:rPr>
      <w:rFonts w:ascii="Times New Roman" w:hAnsi="Times New Roman" w:eastAsia="Times New Roman" w:cs="Times New Roman"/>
      <w:sz w:val="24"/>
      <w:szCs w:val="24"/>
      <w:lang w:bidi="ar-SA"/>
    </w:rPr>
  </w:style>
  <w:style w:type="paragraph" w:customStyle="1" w:styleId="65">
    <w:name w:val="正文_1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正文_1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正文_1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正文_1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正文_1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正文_1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正文_1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正文_1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正文_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正文_1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正文_1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正文_1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
    <w:name w:val="正文_1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
    <w:name w:val="正文_1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
    <w:name w:val="正文_1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
    <w:name w:val="正文_1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
    <w:name w:val="正文_1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正文_1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正文_1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正文_1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正文_1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正文_1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正文_1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
    <w:name w:val="纯文本_0"/>
    <w:qFormat/>
    <w:uiPriority w:val="0"/>
    <w:pPr>
      <w:widowControl w:val="0"/>
      <w:jc w:val="both"/>
    </w:pPr>
    <w:rPr>
      <w:rFonts w:ascii="宋体" w:hAnsi="Courier New" w:eastAsia="宋体" w:cs="Times New Roman"/>
      <w:kern w:val="0"/>
      <w:sz w:val="20"/>
      <w:szCs w:val="21"/>
      <w:lang w:val="en-US" w:eastAsia="zh-CN" w:bidi="ar-SA"/>
    </w:rPr>
  </w:style>
  <w:style w:type="paragraph" w:customStyle="1" w:styleId="90">
    <w:name w:val="正文_1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
    <w:name w:val="纯文本_1"/>
    <w:qFormat/>
    <w:uiPriority w:val="0"/>
    <w:pPr>
      <w:widowControl w:val="0"/>
      <w:jc w:val="both"/>
    </w:pPr>
    <w:rPr>
      <w:rFonts w:ascii="宋体" w:hAnsi="Courier New" w:eastAsia="宋体" w:cs="Times New Roman"/>
      <w:kern w:val="0"/>
      <w:sz w:val="20"/>
      <w:szCs w:val="21"/>
      <w:lang w:val="en-US" w:eastAsia="zh-CN" w:bidi="ar-SA"/>
    </w:rPr>
  </w:style>
  <w:style w:type="paragraph" w:customStyle="1" w:styleId="92">
    <w:name w:val="正文_1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
    <w:name w:val="正文_1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
    <w:name w:val="Normal_3_0"/>
    <w:qFormat/>
    <w:uiPriority w:val="0"/>
    <w:rPr>
      <w:rFonts w:ascii="Times New Roman" w:hAnsi="Times New Roman" w:eastAsia="Times New Roman" w:cs="Times New Roman"/>
      <w:sz w:val="24"/>
      <w:szCs w:val="24"/>
      <w:lang w:bidi="ar-SA"/>
    </w:rPr>
  </w:style>
  <w:style w:type="paragraph" w:customStyle="1" w:styleId="9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
    <w:name w:val="正文_0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
    <w:name w:val="正文_0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
    <w:name w:val="正文_0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正文_0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
    <w:name w:val="正文_0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
    <w:name w:val="正文_0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
    <w:name w:val="正文_0_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
    <w:name w:val="正文_0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
    <w:name w:val="Normal_4_0"/>
    <w:qFormat/>
    <w:uiPriority w:val="0"/>
    <w:rPr>
      <w:rFonts w:ascii="Times New Roman" w:hAnsi="Times New Roman" w:eastAsia="Times New Roman" w:cs="Times New Roman"/>
      <w:sz w:val="24"/>
      <w:szCs w:val="24"/>
      <w:lang w:bidi="ar-SA"/>
    </w:rPr>
  </w:style>
  <w:style w:type="paragraph" w:customStyle="1" w:styleId="106">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
    <w:name w:val="正文_1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
    <w:name w:val="正文_1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
    <w:name w:val="正文_1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
    <w:name w:val="正文_1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2">
    <w:name w:val="Normal_7_0"/>
    <w:qFormat/>
    <w:uiPriority w:val="0"/>
    <w:rPr>
      <w:rFonts w:ascii="Times New Roman" w:hAnsi="Times New Roman" w:eastAsia="Times New Roman" w:cs="Times New Roman"/>
      <w:sz w:val="24"/>
      <w:szCs w:val="24"/>
      <w:lang w:bidi="ar-SA"/>
    </w:rPr>
  </w:style>
  <w:style w:type="paragraph" w:customStyle="1" w:styleId="113">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4">
    <w:name w:val="Normal_9_0"/>
    <w:qFormat/>
    <w:uiPriority w:val="0"/>
    <w:rPr>
      <w:rFonts w:ascii="Times New Roman" w:hAnsi="Times New Roman" w:eastAsia="Times New Roman" w:cs="Times New Roman"/>
      <w:sz w:val="24"/>
      <w:szCs w:val="24"/>
      <w:lang w:bidi="ar-SA"/>
    </w:rPr>
  </w:style>
  <w:style w:type="paragraph" w:customStyle="1" w:styleId="115">
    <w:name w:val="正文_4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
    <w:name w:val="正文_4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7">
    <w:name w:val="日期_0"/>
    <w:next w:val="118"/>
    <w:qFormat/>
    <w:uiPriority w:val="0"/>
    <w:pPr>
      <w:widowControl w:val="0"/>
      <w:jc w:val="both"/>
    </w:pPr>
    <w:rPr>
      <w:rFonts w:ascii="Times New Roman" w:hAnsi="Times New Roman" w:eastAsia="宋体" w:cs="Times New Roman"/>
      <w:kern w:val="0"/>
      <w:sz w:val="24"/>
      <w:szCs w:val="20"/>
      <w:lang w:val="en-US" w:eastAsia="zh-CN" w:bidi="ar-SA"/>
    </w:rPr>
  </w:style>
  <w:style w:type="paragraph" w:customStyle="1" w:styleId="118">
    <w:name w:val="正文_4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日期_1"/>
    <w:next w:val="120"/>
    <w:qFormat/>
    <w:uiPriority w:val="0"/>
    <w:pPr>
      <w:widowControl w:val="0"/>
      <w:jc w:val="both"/>
    </w:pPr>
    <w:rPr>
      <w:rFonts w:ascii="Times New Roman" w:hAnsi="Times New Roman" w:eastAsia="宋体" w:cs="Times New Roman"/>
      <w:kern w:val="0"/>
      <w:sz w:val="24"/>
      <w:szCs w:val="20"/>
      <w:lang w:val="en-US" w:eastAsia="zh-CN" w:bidi="ar-SA"/>
    </w:rPr>
  </w:style>
  <w:style w:type="paragraph" w:customStyle="1" w:styleId="120">
    <w:name w:val="正文_4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正文_4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2">
    <w:name w:val="正文_4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正文_4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
    <w:name w:val="正文_4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Normal_10_0"/>
    <w:qFormat/>
    <w:uiPriority w:val="0"/>
    <w:rPr>
      <w:rFonts w:ascii="Times New Roman" w:hAnsi="Times New Roman" w:eastAsia="Times New Roman" w:cs="Times New Roman"/>
      <w:sz w:val="24"/>
      <w:szCs w:val="24"/>
      <w:lang w:bidi="ar-SA"/>
    </w:rPr>
  </w:style>
  <w:style w:type="paragraph" w:customStyle="1" w:styleId="126">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7">
    <w:name w:val="正文_5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8">
    <w:name w:val="正文_5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正文_5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0">
    <w:name w:val="正文_5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Normal_11_0"/>
    <w:qFormat/>
    <w:uiPriority w:val="0"/>
    <w:rPr>
      <w:rFonts w:ascii="Times New Roman" w:hAnsi="Times New Roman" w:eastAsia="Times New Roman" w:cs="Times New Roman"/>
      <w:sz w:val="24"/>
      <w:szCs w:val="24"/>
      <w:lang w:bidi="ar-SA"/>
    </w:rPr>
  </w:style>
  <w:style w:type="paragraph" w:customStyle="1" w:styleId="132">
    <w:name w:val="正文_6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3">
    <w:name w:val="Normal_12_0"/>
    <w:qFormat/>
    <w:uiPriority w:val="0"/>
    <w:rPr>
      <w:rFonts w:ascii="Times New Roman" w:hAnsi="Times New Roman" w:eastAsia="Times New Roman" w:cs="Times New Roman"/>
      <w:sz w:val="24"/>
      <w:szCs w:val="24"/>
      <w:lang w:bidi="ar-SA"/>
    </w:rPr>
  </w:style>
  <w:style w:type="paragraph" w:customStyle="1" w:styleId="134">
    <w:name w:val="Normal_14_0"/>
    <w:qFormat/>
    <w:uiPriority w:val="0"/>
    <w:rPr>
      <w:rFonts w:ascii="Times New Roman" w:hAnsi="Times New Roman" w:eastAsia="Times New Roman" w:cs="Times New Roman"/>
      <w:sz w:val="24"/>
      <w:szCs w:val="24"/>
      <w:lang w:bidi="ar-SA"/>
    </w:rPr>
  </w:style>
  <w:style w:type="paragraph" w:customStyle="1" w:styleId="135">
    <w:name w:val="Normal_14_1"/>
    <w:qFormat/>
    <w:uiPriority w:val="0"/>
    <w:rPr>
      <w:rFonts w:ascii="Times New Roman" w:hAnsi="Times New Roman" w:eastAsia="Times New Roman" w:cs="Times New Roman"/>
      <w:sz w:val="24"/>
      <w:szCs w:val="24"/>
      <w:lang w:bidi="ar-SA"/>
    </w:rPr>
  </w:style>
  <w:style w:type="paragraph" w:customStyle="1" w:styleId="136">
    <w:name w:val="Normal_14_2"/>
    <w:qFormat/>
    <w:uiPriority w:val="0"/>
    <w:rPr>
      <w:rFonts w:ascii="Times New Roman" w:hAnsi="Times New Roman" w:eastAsia="Times New Roman" w:cs="Times New Roman"/>
      <w:sz w:val="24"/>
      <w:szCs w:val="24"/>
      <w:lang w:bidi="ar-SA"/>
    </w:rPr>
  </w:style>
  <w:style w:type="paragraph" w:customStyle="1" w:styleId="137">
    <w:name w:val="Normal_14_3"/>
    <w:qFormat/>
    <w:uiPriority w:val="0"/>
    <w:rPr>
      <w:rFonts w:ascii="Times New Roman" w:hAnsi="Times New Roman" w:eastAsia="Times New Roman" w:cs="Times New Roman"/>
      <w:sz w:val="24"/>
      <w:szCs w:val="24"/>
      <w:lang w:bidi="ar-SA"/>
    </w:rPr>
  </w:style>
  <w:style w:type="paragraph" w:customStyle="1" w:styleId="138">
    <w:name w:val="Normal_14_4"/>
    <w:qFormat/>
    <w:uiPriority w:val="0"/>
    <w:rPr>
      <w:rFonts w:ascii="Times New Roman" w:hAnsi="Times New Roman" w:eastAsia="Times New Roman" w:cs="Times New Roman"/>
      <w:sz w:val="24"/>
      <w:szCs w:val="24"/>
      <w:lang w:bidi="ar-SA"/>
    </w:rPr>
  </w:style>
  <w:style w:type="paragraph" w:customStyle="1" w:styleId="139">
    <w:name w:val="Normal_14_5"/>
    <w:qFormat/>
    <w:uiPriority w:val="0"/>
    <w:rPr>
      <w:rFonts w:ascii="Times New Roman" w:hAnsi="Times New Roman" w:eastAsia="Times New Roman" w:cs="Times New Roman"/>
      <w:sz w:val="24"/>
      <w:szCs w:val="24"/>
      <w:lang w:bidi="ar-SA"/>
    </w:rPr>
  </w:style>
  <w:style w:type="paragraph" w:customStyle="1" w:styleId="140">
    <w:name w:val="Normal_15_0"/>
    <w:qFormat/>
    <w:uiPriority w:val="0"/>
    <w:rPr>
      <w:rFonts w:ascii="Times New Roman" w:hAnsi="Times New Roman" w:eastAsia="Times New Roman" w:cs="Times New Roman"/>
      <w:sz w:val="24"/>
      <w:szCs w:val="24"/>
      <w:lang w:bidi="ar-SA"/>
    </w:rPr>
  </w:style>
  <w:style w:type="paragraph" w:customStyle="1" w:styleId="141">
    <w:name w:val="Normal_16_0"/>
    <w:qFormat/>
    <w:uiPriority w:val="0"/>
    <w:rPr>
      <w:rFonts w:ascii="Times New Roman" w:hAnsi="Times New Roman" w:eastAsia="Times New Roman" w:cs="Times New Roman"/>
      <w:sz w:val="24"/>
      <w:szCs w:val="24"/>
      <w:lang w:bidi="ar-SA"/>
    </w:rPr>
  </w:style>
  <w:style w:type="paragraph" w:customStyle="1" w:styleId="142">
    <w:name w:val="Normal_16_1"/>
    <w:qFormat/>
    <w:uiPriority w:val="0"/>
    <w:rPr>
      <w:rFonts w:ascii="Times New Roman" w:hAnsi="Times New Roman" w:eastAsia="Times New Roman" w:cs="Times New Roman"/>
      <w:sz w:val="24"/>
      <w:szCs w:val="24"/>
      <w:lang w:bidi="ar-SA"/>
    </w:rPr>
  </w:style>
  <w:style w:type="paragraph" w:customStyle="1" w:styleId="143">
    <w:name w:val="Normal_16_2"/>
    <w:qFormat/>
    <w:uiPriority w:val="0"/>
    <w:rPr>
      <w:rFonts w:ascii="Times New Roman" w:hAnsi="Times New Roman" w:eastAsia="Times New Roman" w:cs="Times New Roman"/>
      <w:sz w:val="24"/>
      <w:szCs w:val="24"/>
      <w:lang w:bidi="ar-SA"/>
    </w:rPr>
  </w:style>
  <w:style w:type="paragraph" w:customStyle="1" w:styleId="144">
    <w:name w:val="Normal_16_3"/>
    <w:qFormat/>
    <w:uiPriority w:val="0"/>
    <w:rPr>
      <w:rFonts w:ascii="Times New Roman" w:hAnsi="Times New Roman" w:eastAsia="Times New Roman" w:cs="Times New Roman"/>
      <w:sz w:val="24"/>
      <w:szCs w:val="24"/>
      <w:lang w:bidi="ar-SA"/>
    </w:rPr>
  </w:style>
  <w:style w:type="paragraph" w:customStyle="1" w:styleId="145">
    <w:name w:val="Normal_16_4"/>
    <w:qFormat/>
    <w:uiPriority w:val="0"/>
    <w:rPr>
      <w:rFonts w:ascii="Times New Roman" w:hAnsi="Times New Roman" w:eastAsia="Times New Roman" w:cs="Times New Roman"/>
      <w:sz w:val="24"/>
      <w:szCs w:val="24"/>
      <w:lang w:bidi="ar-SA"/>
    </w:rPr>
  </w:style>
  <w:style w:type="paragraph" w:customStyle="1" w:styleId="146">
    <w:name w:val="Normal_16_5"/>
    <w:qFormat/>
    <w:uiPriority w:val="0"/>
    <w:rPr>
      <w:rFonts w:ascii="Times New Roman" w:hAnsi="Times New Roman" w:eastAsia="Times New Roman" w:cs="Times New Roman"/>
      <w:sz w:val="24"/>
      <w:szCs w:val="24"/>
      <w:lang w:bidi="ar-SA"/>
    </w:rPr>
  </w:style>
  <w:style w:type="paragraph" w:customStyle="1" w:styleId="147">
    <w:name w:val="Normal_16_6"/>
    <w:qFormat/>
    <w:uiPriority w:val="0"/>
    <w:rPr>
      <w:rFonts w:ascii="Times New Roman" w:hAnsi="Times New Roman" w:eastAsia="Times New Roman" w:cs="Times New Roman"/>
      <w:sz w:val="24"/>
      <w:szCs w:val="24"/>
      <w:lang w:bidi="ar-SA"/>
    </w:rPr>
  </w:style>
  <w:style w:type="paragraph" w:customStyle="1" w:styleId="148">
    <w:name w:val="Normal_16_7"/>
    <w:qFormat/>
    <w:uiPriority w:val="0"/>
    <w:rPr>
      <w:rFonts w:ascii="Times New Roman" w:hAnsi="Times New Roman" w:eastAsia="Times New Roman" w:cs="Times New Roman"/>
      <w:sz w:val="24"/>
      <w:szCs w:val="24"/>
      <w:lang w:bidi="ar-SA"/>
    </w:rPr>
  </w:style>
  <w:style w:type="paragraph" w:customStyle="1" w:styleId="149">
    <w:name w:val="Normal_16_8"/>
    <w:qFormat/>
    <w:uiPriority w:val="0"/>
    <w:rPr>
      <w:rFonts w:ascii="Times New Roman" w:hAnsi="Times New Roman" w:eastAsia="Times New Roman" w:cs="Times New Roman"/>
      <w:sz w:val="24"/>
      <w:szCs w:val="24"/>
      <w:lang w:bidi="ar-SA"/>
    </w:rPr>
  </w:style>
  <w:style w:type="paragraph" w:customStyle="1" w:styleId="150">
    <w:name w:val="Normal_16_10"/>
    <w:qFormat/>
    <w:uiPriority w:val="0"/>
    <w:rPr>
      <w:rFonts w:ascii="Times New Roman" w:hAnsi="Times New Roman" w:eastAsia="Times New Roman" w:cs="Times New Roman"/>
      <w:sz w:val="24"/>
      <w:szCs w:val="24"/>
      <w:lang w:bidi="ar-SA"/>
    </w:rPr>
  </w:style>
  <w:style w:type="paragraph" w:customStyle="1" w:styleId="151">
    <w:name w:val="Normal_16_11"/>
    <w:qFormat/>
    <w:uiPriority w:val="0"/>
    <w:rPr>
      <w:rFonts w:ascii="Times New Roman" w:hAnsi="Times New Roman" w:eastAsia="Times New Roman" w:cs="Times New Roman"/>
      <w:sz w:val="24"/>
      <w:szCs w:val="24"/>
      <w:lang w:bidi="ar-SA"/>
    </w:rPr>
  </w:style>
  <w:style w:type="paragraph" w:customStyle="1" w:styleId="152">
    <w:name w:val="Normal_17_0"/>
    <w:qFormat/>
    <w:uiPriority w:val="0"/>
    <w:rPr>
      <w:rFonts w:ascii="Times New Roman" w:hAnsi="Times New Roman" w:eastAsia="Times New Roman" w:cs="Times New Roman"/>
      <w:sz w:val="24"/>
      <w:szCs w:val="24"/>
      <w:lang w:bidi="ar-SA"/>
    </w:rPr>
  </w:style>
  <w:style w:type="paragraph" w:customStyle="1" w:styleId="153">
    <w:name w:val="正文_8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4">
    <w:name w:val="正文_8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5">
    <w:name w:val="正文_8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正文_8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7">
    <w:name w:val="正文_8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8">
    <w:name w:val="正文_8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9">
    <w:name w:val="正文_8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正文_8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正文_8_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正文_8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正文_8_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Normal_18_0"/>
    <w:qFormat/>
    <w:uiPriority w:val="0"/>
    <w:rPr>
      <w:rFonts w:ascii="Times New Roman" w:hAnsi="Times New Roman" w:eastAsia="Times New Roman" w:cs="Times New Roman"/>
      <w:sz w:val="24"/>
      <w:szCs w:val="24"/>
      <w:lang w:bidi="ar-SA"/>
    </w:rPr>
  </w:style>
  <w:style w:type="paragraph" w:customStyle="1" w:styleId="165">
    <w:name w:val="正文_9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6">
    <w:name w:val="正文_9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正文_9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8">
    <w:name w:val="正文_9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9">
    <w:name w:val="正文_9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正文_9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
    <w:name w:val="正文_9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正文_9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正文_9_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正文_9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正文_9_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正文_9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正文_9_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正文_9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9">
    <w:name w:val="正文_9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Normal_19_0"/>
    <w:qFormat/>
    <w:uiPriority w:val="0"/>
    <w:rPr>
      <w:rFonts w:ascii="Times New Roman" w:hAnsi="Times New Roman" w:eastAsia="Times New Roman" w:cs="Times New Roman"/>
      <w:sz w:val="24"/>
      <w:szCs w:val="24"/>
      <w:lang w:bidi="ar-SA"/>
    </w:rPr>
  </w:style>
  <w:style w:type="paragraph" w:customStyle="1" w:styleId="181">
    <w:name w:val="纯文本_0_0"/>
    <w:qFormat/>
    <w:uiPriority w:val="0"/>
    <w:pPr>
      <w:widowControl w:val="0"/>
      <w:jc w:val="both"/>
    </w:pPr>
    <w:rPr>
      <w:rFonts w:ascii="宋体" w:hAnsi="Courier New" w:eastAsia="宋体" w:cs="Times New Roman"/>
      <w:kern w:val="0"/>
      <w:sz w:val="20"/>
      <w:szCs w:val="21"/>
      <w:lang w:val="en-US" w:eastAsia="zh-CN" w:bidi="ar-SA"/>
    </w:rPr>
  </w:style>
  <w:style w:type="paragraph" w:customStyle="1" w:styleId="182">
    <w:name w:val="正文_1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3">
    <w:name w:val="纯文本_0_1"/>
    <w:qFormat/>
    <w:uiPriority w:val="0"/>
    <w:pPr>
      <w:widowControl w:val="0"/>
      <w:jc w:val="both"/>
    </w:pPr>
    <w:rPr>
      <w:rFonts w:ascii="宋体" w:hAnsi="Courier New" w:eastAsia="宋体" w:cs="Times New Roman"/>
      <w:kern w:val="0"/>
      <w:sz w:val="20"/>
      <w:szCs w:val="21"/>
      <w:lang w:val="en-US" w:eastAsia="zh-CN" w:bidi="ar-SA"/>
    </w:rPr>
  </w:style>
  <w:style w:type="paragraph" w:customStyle="1" w:styleId="184">
    <w:name w:val="正文_1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5">
    <w:name w:val="纯文本_0_2"/>
    <w:qFormat/>
    <w:uiPriority w:val="0"/>
    <w:pPr>
      <w:widowControl w:val="0"/>
      <w:jc w:val="both"/>
    </w:pPr>
    <w:rPr>
      <w:rFonts w:ascii="宋体" w:hAnsi="Courier New" w:eastAsia="宋体" w:cs="Times New Roman"/>
      <w:kern w:val="0"/>
      <w:sz w:val="20"/>
      <w:szCs w:val="21"/>
      <w:lang w:val="en-US" w:eastAsia="zh-CN" w:bidi="ar-SA"/>
    </w:rPr>
  </w:style>
  <w:style w:type="paragraph" w:customStyle="1" w:styleId="186">
    <w:name w:val="正文_10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7">
    <w:name w:val="正文_10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8">
    <w:name w:val="正文_10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9">
    <w:name w:val="正文_10_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0">
    <w:name w:val="正文_10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1">
    <w:name w:val="正文_10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正文_10_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正文_10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正文_10_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5">
    <w:name w:val="正文_10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6">
    <w:name w:val="正文_10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7">
    <w:name w:val="正文_10_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8">
    <w:name w:val="正文_10_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正文_10_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正文_10_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1">
    <w:name w:val="正文_10_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正文_10_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3">
    <w:name w:val="正文_10_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
    <w:name w:val="正文_10_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5">
    <w:name w:val="正文_10_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6">
    <w:name w:val="正文_10_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7">
    <w:name w:val="正文_10_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8">
    <w:name w:val="正文_10_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9">
    <w:name w:val="正文_10_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0">
    <w:name w:val="正文_10_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1">
    <w:name w:val="正文_10_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2">
    <w:name w:val="正文_10_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3">
    <w:name w:val="正文_10_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正文_10_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5">
    <w:name w:val="正文_10_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6">
    <w:name w:val="正文_10_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正文_10_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8">
    <w:name w:val="正文_10_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9">
    <w:name w:val="正文_10_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正文_10_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1">
    <w:name w:val="正文_10_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2">
    <w:name w:val="正文_10_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3">
    <w:name w:val="正文_10_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5">
    <w:name w:val="正文_10_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6">
    <w:name w:val="正文_10_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正文_10_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8">
    <w:name w:val="正文_10_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正文_10_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0">
    <w:name w:val="正文_10_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1">
    <w:name w:val="正文_10_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2">
    <w:name w:val="正文_10_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3">
    <w:name w:val="正文_10_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4">
    <w:name w:val="正文_10_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5">
    <w:name w:val="正文_10_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6">
    <w:name w:val="正文_10_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7">
    <w:name w:val="正文_10_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8">
    <w:name w:val="正文_10_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正文_10_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0">
    <w:name w:val="正文_10_8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259</Pages>
  <Words>4326</Words>
  <Characters>4427</Characters>
  <Lines>0</Lines>
  <Paragraphs>0</Paragraphs>
  <TotalTime>14</TotalTime>
  <ScaleCrop>false</ScaleCrop>
  <LinksUpToDate>false</LinksUpToDate>
  <CharactersWithSpaces>4462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2026-10-30T03:34:00Z</dcterms:created>
  <dc:creator>Administrator</dc:creator>
  <cp:lastModifiedBy>Administrator</cp:lastModifiedBy>
  <cp:lastPrinted>2026-10-30T03:43:00Z</cp:lastPrinted>
  <dcterms:modified xsi:type="dcterms:W3CDTF">2026-11-02T02:05:00Z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CEB13178F3B1421CA91052C46C155FAB_13</vt:lpwstr>
  </property>
  <property fmtid="{D5CDD505-2E9C-101B-9397-08002B2CF9AE}" pid="4" name="KSOTemplateDocerSaveRecord">
    <vt:lpwstr>eyJoZGlkIjoiZWVhNDE4NTc5MDliZjRlZTRkM2VhYjEyYjY0ZTk2MjYiLCJ1c2VySWQiOiI2MjM4NTcyNDUifQ==</vt:lpwstr>
  </property>
</Properties>
</file>